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00" w:rsidRDefault="007D0832">
      <w:pPr>
        <w:rPr>
          <w:noProof/>
          <w:lang w:eastAsia="en-GB"/>
        </w:rPr>
      </w:pPr>
      <w:r>
        <w:rPr>
          <w:noProof/>
          <w:lang w:eastAsia="en-GB"/>
        </w:rPr>
        <w:drawing>
          <wp:inline distT="0" distB="0" distL="0" distR="0" wp14:anchorId="602F1FD7" wp14:editId="0AE56881">
            <wp:extent cx="2219570" cy="71901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169" cy="725688"/>
                    </a:xfrm>
                    <a:prstGeom prst="rect">
                      <a:avLst/>
                    </a:prstGeom>
                    <a:noFill/>
                  </pic:spPr>
                </pic:pic>
              </a:graphicData>
            </a:graphic>
          </wp:inline>
        </w:drawing>
      </w:r>
    </w:p>
    <w:tbl>
      <w:tblPr>
        <w:tblW w:w="9007" w:type="dxa"/>
        <w:tblLayout w:type="fixed"/>
        <w:tblLook w:val="0000" w:firstRow="0" w:lastRow="0" w:firstColumn="0" w:lastColumn="0" w:noHBand="0" w:noVBand="0"/>
      </w:tblPr>
      <w:tblGrid>
        <w:gridCol w:w="108"/>
        <w:gridCol w:w="3348"/>
        <w:gridCol w:w="202"/>
        <w:gridCol w:w="4852"/>
        <w:gridCol w:w="387"/>
        <w:gridCol w:w="43"/>
        <w:gridCol w:w="67"/>
      </w:tblGrid>
      <w:tr w:rsidR="00591F00" w:rsidTr="00074EF4">
        <w:trPr>
          <w:trHeight w:val="652"/>
        </w:trPr>
        <w:tc>
          <w:tcPr>
            <w:tcW w:w="3658" w:type="dxa"/>
            <w:gridSpan w:val="3"/>
            <w:tcBorders>
              <w:bottom w:val="single" w:sz="18" w:space="0" w:color="auto"/>
            </w:tcBorders>
          </w:tcPr>
          <w:p w:rsidR="00591F00" w:rsidRPr="00B805DB" w:rsidRDefault="00591F00" w:rsidP="00D45D03">
            <w:pPr>
              <w:pStyle w:val="Infotext"/>
              <w:rPr>
                <w:rFonts w:ascii="Arial Black" w:hAnsi="Arial Black" w:cs="Arial"/>
                <w:sz w:val="36"/>
                <w:szCs w:val="36"/>
              </w:rPr>
            </w:pPr>
          </w:p>
        </w:tc>
        <w:tc>
          <w:tcPr>
            <w:tcW w:w="5349" w:type="dxa"/>
            <w:gridSpan w:val="4"/>
            <w:tcBorders>
              <w:bottom w:val="single" w:sz="18" w:space="0" w:color="auto"/>
            </w:tcBorders>
          </w:tcPr>
          <w:p w:rsidR="00591F00" w:rsidRPr="005E3A10" w:rsidRDefault="00591F00" w:rsidP="00D45D03">
            <w:pPr>
              <w:rPr>
                <w:rFonts w:ascii="Arial Black" w:hAnsi="Arial Black" w:cs="Arial"/>
                <w:szCs w:val="24"/>
              </w:rPr>
            </w:pPr>
          </w:p>
        </w:tc>
      </w:tr>
      <w:tr w:rsidR="00696FC4" w:rsidTr="00074EF4">
        <w:trPr>
          <w:gridAfter w:val="1"/>
          <w:wAfter w:w="67" w:type="dxa"/>
          <w:trHeight w:val="900"/>
        </w:trPr>
        <w:tc>
          <w:tcPr>
            <w:tcW w:w="3456" w:type="dxa"/>
            <w:gridSpan w:val="2"/>
            <w:tcBorders>
              <w:bottom w:val="single" w:sz="18" w:space="0" w:color="auto"/>
            </w:tcBorders>
          </w:tcPr>
          <w:p w:rsidR="00696FC4" w:rsidRPr="00074EF4" w:rsidRDefault="00696FC4">
            <w:pPr>
              <w:pStyle w:val="Infotext"/>
              <w:rPr>
                <w:rFonts w:ascii="Arial Black" w:hAnsi="Arial Black"/>
                <w:color w:val="808080" w:themeColor="background1" w:themeShade="80"/>
                <w:sz w:val="36"/>
                <w:szCs w:val="36"/>
              </w:rPr>
            </w:pPr>
            <w:r w:rsidRPr="00074EF4">
              <w:rPr>
                <w:rFonts w:ascii="Arial Black" w:hAnsi="Arial Black"/>
                <w:color w:val="808080" w:themeColor="background1" w:themeShade="80"/>
                <w:sz w:val="36"/>
                <w:szCs w:val="36"/>
              </w:rPr>
              <w:t>REPORT FOR:</w:t>
            </w:r>
          </w:p>
          <w:p w:rsidR="00696FC4" w:rsidRDefault="00696FC4">
            <w:pPr>
              <w:pStyle w:val="Infotext"/>
              <w:rPr>
                <w:rFonts w:ascii="Arial Black" w:hAnsi="Arial Black" w:cs="Arial"/>
                <w:sz w:val="36"/>
                <w:szCs w:val="36"/>
              </w:rPr>
            </w:pPr>
          </w:p>
        </w:tc>
        <w:tc>
          <w:tcPr>
            <w:tcW w:w="5484" w:type="dxa"/>
            <w:gridSpan w:val="4"/>
            <w:tcBorders>
              <w:bottom w:val="single" w:sz="18" w:space="0" w:color="auto"/>
            </w:tcBorders>
          </w:tcPr>
          <w:p w:rsidR="00696FC4" w:rsidRDefault="00696FC4">
            <w:pPr>
              <w:rPr>
                <w:rFonts w:ascii="Arial Black" w:hAnsi="Arial Black" w:cs="Arial"/>
                <w:sz w:val="36"/>
                <w:szCs w:val="36"/>
              </w:rPr>
            </w:pPr>
            <w:r>
              <w:rPr>
                <w:rFonts w:ascii="Arial Black" w:hAnsi="Arial Black" w:cs="Arial"/>
                <w:sz w:val="36"/>
                <w:szCs w:val="36"/>
              </w:rPr>
              <w:t>CABINET</w:t>
            </w:r>
          </w:p>
        </w:tc>
      </w:tr>
      <w:tr w:rsidR="00696FC4" w:rsidTr="00074EF4">
        <w:trPr>
          <w:gridAfter w:val="1"/>
          <w:wAfter w:w="67" w:type="dxa"/>
        </w:trPr>
        <w:tc>
          <w:tcPr>
            <w:tcW w:w="3456" w:type="dxa"/>
            <w:gridSpan w:val="2"/>
            <w:tcBorders>
              <w:top w:val="single" w:sz="18" w:space="0" w:color="auto"/>
            </w:tcBorders>
          </w:tcPr>
          <w:p w:rsidR="00696FC4" w:rsidRDefault="00696FC4">
            <w:pPr>
              <w:pStyle w:val="Infotext"/>
              <w:rPr>
                <w:rFonts w:ascii="Arial Black" w:hAnsi="Arial Black"/>
              </w:rPr>
            </w:pPr>
            <w:r>
              <w:rPr>
                <w:rFonts w:ascii="Arial Black" w:hAnsi="Arial Black"/>
              </w:rPr>
              <w:t>Date</w:t>
            </w:r>
            <w:r w:rsidR="00591F00">
              <w:rPr>
                <w:rFonts w:ascii="Arial Black" w:hAnsi="Arial Black"/>
              </w:rPr>
              <w:t xml:space="preserve"> of meeting</w:t>
            </w:r>
            <w:r>
              <w:rPr>
                <w:rFonts w:ascii="Arial Black" w:hAnsi="Arial Black"/>
              </w:rPr>
              <w:t>:</w:t>
            </w:r>
          </w:p>
          <w:p w:rsidR="00696FC4" w:rsidRDefault="00696FC4">
            <w:pPr>
              <w:pStyle w:val="Infotext"/>
              <w:rPr>
                <w:rFonts w:ascii="Arial Black" w:hAnsi="Arial Black" w:cs="Arial"/>
              </w:rPr>
            </w:pPr>
          </w:p>
        </w:tc>
        <w:tc>
          <w:tcPr>
            <w:tcW w:w="5484" w:type="dxa"/>
            <w:gridSpan w:val="4"/>
            <w:tcBorders>
              <w:top w:val="single" w:sz="18" w:space="0" w:color="auto"/>
            </w:tcBorders>
          </w:tcPr>
          <w:p w:rsidR="00696FC4" w:rsidRDefault="00E44C47" w:rsidP="003B3607">
            <w:pPr>
              <w:rPr>
                <w:bCs/>
                <w:szCs w:val="24"/>
              </w:rPr>
            </w:pPr>
            <w:r>
              <w:rPr>
                <w:bCs/>
                <w:szCs w:val="24"/>
              </w:rPr>
              <w:t>2</w:t>
            </w:r>
            <w:r w:rsidR="0077381B">
              <w:rPr>
                <w:bCs/>
                <w:szCs w:val="24"/>
              </w:rPr>
              <w:t>0</w:t>
            </w:r>
            <w:r w:rsidR="00F91628">
              <w:rPr>
                <w:bCs/>
                <w:szCs w:val="24"/>
              </w:rPr>
              <w:t xml:space="preserve"> June</w:t>
            </w:r>
            <w:r w:rsidR="00CB7175">
              <w:rPr>
                <w:bCs/>
                <w:szCs w:val="24"/>
              </w:rPr>
              <w:t xml:space="preserve"> </w:t>
            </w:r>
            <w:r w:rsidR="00696FC4">
              <w:rPr>
                <w:bCs/>
                <w:szCs w:val="24"/>
              </w:rPr>
              <w:t>201</w:t>
            </w:r>
            <w:r w:rsidR="0077381B">
              <w:rPr>
                <w:bCs/>
                <w:szCs w:val="24"/>
              </w:rPr>
              <w:t>9</w:t>
            </w:r>
          </w:p>
          <w:p w:rsidR="00591F00" w:rsidRDefault="00591F00" w:rsidP="003B3607">
            <w:pPr>
              <w:rPr>
                <w:bCs/>
                <w:szCs w:val="24"/>
              </w:rPr>
            </w:pPr>
          </w:p>
          <w:p w:rsidR="00EF3848" w:rsidRPr="00EF3848" w:rsidRDefault="00EF3848" w:rsidP="003B3607">
            <w:pPr>
              <w:rPr>
                <w:rFonts w:cs="Arial"/>
                <w:b/>
              </w:rPr>
            </w:pPr>
          </w:p>
        </w:tc>
      </w:tr>
      <w:tr w:rsidR="00696FC4" w:rsidTr="00074EF4">
        <w:trPr>
          <w:gridAfter w:val="1"/>
          <w:wAfter w:w="67" w:type="dxa"/>
        </w:trPr>
        <w:tc>
          <w:tcPr>
            <w:tcW w:w="3456" w:type="dxa"/>
            <w:gridSpan w:val="2"/>
          </w:tcPr>
          <w:p w:rsidR="00696FC4" w:rsidRDefault="00696FC4">
            <w:pPr>
              <w:pStyle w:val="Infotext"/>
              <w:rPr>
                <w:rFonts w:ascii="Arial Black" w:hAnsi="Arial Black" w:cs="Arial"/>
              </w:rPr>
            </w:pPr>
            <w:r>
              <w:rPr>
                <w:rFonts w:ascii="Arial Black" w:hAnsi="Arial Black" w:cs="Arial"/>
              </w:rPr>
              <w:t>Subject:</w:t>
            </w:r>
          </w:p>
          <w:p w:rsidR="00696FC4" w:rsidRDefault="00696FC4">
            <w:pPr>
              <w:pStyle w:val="Infotext"/>
              <w:rPr>
                <w:rFonts w:ascii="Arial Black" w:hAnsi="Arial Black"/>
              </w:rPr>
            </w:pPr>
          </w:p>
        </w:tc>
        <w:tc>
          <w:tcPr>
            <w:tcW w:w="5484" w:type="dxa"/>
            <w:gridSpan w:val="4"/>
          </w:tcPr>
          <w:p w:rsidR="00696FC4" w:rsidRDefault="00F91628" w:rsidP="00B11B73">
            <w:pPr>
              <w:rPr>
                <w:rFonts w:cs="Arial"/>
              </w:rPr>
            </w:pPr>
            <w:r>
              <w:rPr>
                <w:rFonts w:cs="Arial"/>
              </w:rPr>
              <w:t xml:space="preserve">Revenue and Capital Outturn </w:t>
            </w:r>
            <w:r w:rsidR="00B11B73">
              <w:rPr>
                <w:rFonts w:cs="Arial"/>
              </w:rPr>
              <w:t>2018</w:t>
            </w:r>
            <w:r w:rsidR="000F40E5">
              <w:rPr>
                <w:rFonts w:cs="Arial"/>
              </w:rPr>
              <w:t>/19</w:t>
            </w:r>
          </w:p>
        </w:tc>
      </w:tr>
      <w:tr w:rsidR="00696FC4" w:rsidTr="00074EF4">
        <w:trPr>
          <w:gridAfter w:val="1"/>
          <w:wAfter w:w="67" w:type="dxa"/>
        </w:trPr>
        <w:tc>
          <w:tcPr>
            <w:tcW w:w="3456" w:type="dxa"/>
            <w:gridSpan w:val="2"/>
          </w:tcPr>
          <w:p w:rsidR="00696FC4" w:rsidRDefault="00696FC4">
            <w:pPr>
              <w:pStyle w:val="Infotext"/>
              <w:rPr>
                <w:rFonts w:ascii="Arial Black" w:hAnsi="Arial Black" w:cs="Arial"/>
              </w:rPr>
            </w:pPr>
            <w:r>
              <w:rPr>
                <w:rFonts w:ascii="Arial Black" w:hAnsi="Arial Black" w:cs="Arial"/>
              </w:rPr>
              <w:t xml:space="preserve">Key Decision:  </w:t>
            </w:r>
          </w:p>
        </w:tc>
        <w:tc>
          <w:tcPr>
            <w:tcW w:w="5484" w:type="dxa"/>
            <w:gridSpan w:val="4"/>
          </w:tcPr>
          <w:p w:rsidR="00696FC4" w:rsidRDefault="00696FC4">
            <w:pPr>
              <w:rPr>
                <w:bCs/>
                <w:szCs w:val="24"/>
              </w:rPr>
            </w:pPr>
            <w:r>
              <w:rPr>
                <w:bCs/>
                <w:szCs w:val="24"/>
              </w:rPr>
              <w:t>Yes</w:t>
            </w:r>
          </w:p>
          <w:p w:rsidR="00696FC4" w:rsidRDefault="00696FC4">
            <w:pPr>
              <w:rPr>
                <w:rFonts w:cs="Arial"/>
              </w:rPr>
            </w:pPr>
          </w:p>
        </w:tc>
      </w:tr>
      <w:tr w:rsidR="00696FC4" w:rsidTr="00074EF4">
        <w:trPr>
          <w:gridAfter w:val="1"/>
          <w:wAfter w:w="67" w:type="dxa"/>
        </w:trPr>
        <w:tc>
          <w:tcPr>
            <w:tcW w:w="3456" w:type="dxa"/>
            <w:gridSpan w:val="2"/>
          </w:tcPr>
          <w:p w:rsidR="00696FC4" w:rsidRDefault="00696FC4">
            <w:pPr>
              <w:pStyle w:val="Infotext"/>
              <w:rPr>
                <w:rFonts w:ascii="Arial Black" w:hAnsi="Arial Black" w:cs="Arial"/>
              </w:rPr>
            </w:pPr>
            <w:r>
              <w:rPr>
                <w:rFonts w:ascii="Arial Black" w:hAnsi="Arial Black" w:cs="Arial"/>
              </w:rPr>
              <w:t>Responsible Officer:</w:t>
            </w:r>
          </w:p>
          <w:p w:rsidR="00696FC4" w:rsidRDefault="00696FC4">
            <w:pPr>
              <w:pStyle w:val="Infotext"/>
              <w:rPr>
                <w:rFonts w:ascii="Arial Black" w:hAnsi="Arial Black" w:cs="Arial"/>
              </w:rPr>
            </w:pPr>
          </w:p>
        </w:tc>
        <w:tc>
          <w:tcPr>
            <w:tcW w:w="5484" w:type="dxa"/>
            <w:gridSpan w:val="4"/>
          </w:tcPr>
          <w:p w:rsidR="00696FC4" w:rsidRDefault="0008561D" w:rsidP="00484862">
            <w:pPr>
              <w:rPr>
                <w:rFonts w:cs="Arial"/>
              </w:rPr>
            </w:pPr>
            <w:r>
              <w:rPr>
                <w:bCs/>
                <w:szCs w:val="24"/>
              </w:rPr>
              <w:t xml:space="preserve">Dawn Calvert, </w:t>
            </w:r>
            <w:r w:rsidR="00696FC4">
              <w:rPr>
                <w:bCs/>
                <w:szCs w:val="24"/>
              </w:rPr>
              <w:t xml:space="preserve">Director of </w:t>
            </w:r>
            <w:r w:rsidR="00F91628">
              <w:rPr>
                <w:bCs/>
                <w:szCs w:val="24"/>
              </w:rPr>
              <w:t xml:space="preserve">Finance </w:t>
            </w:r>
          </w:p>
        </w:tc>
      </w:tr>
      <w:tr w:rsidR="00696FC4" w:rsidTr="00074EF4">
        <w:trPr>
          <w:gridAfter w:val="1"/>
          <w:wAfter w:w="67" w:type="dxa"/>
        </w:trPr>
        <w:tc>
          <w:tcPr>
            <w:tcW w:w="3456" w:type="dxa"/>
            <w:gridSpan w:val="2"/>
          </w:tcPr>
          <w:p w:rsidR="00696FC4" w:rsidRDefault="00696FC4">
            <w:pPr>
              <w:pStyle w:val="Infotext"/>
              <w:rPr>
                <w:rFonts w:ascii="Arial Black" w:hAnsi="Arial Black" w:cs="Arial"/>
              </w:rPr>
            </w:pPr>
            <w:r>
              <w:rPr>
                <w:rFonts w:ascii="Arial Black" w:hAnsi="Arial Black" w:cs="Arial"/>
              </w:rPr>
              <w:t>Portfolio Holder:</w:t>
            </w:r>
          </w:p>
          <w:p w:rsidR="00696FC4" w:rsidRDefault="00696FC4">
            <w:pPr>
              <w:pStyle w:val="Infotext"/>
              <w:rPr>
                <w:rFonts w:ascii="Arial Black" w:hAnsi="Arial Black" w:cs="Arial"/>
              </w:rPr>
            </w:pPr>
          </w:p>
        </w:tc>
        <w:tc>
          <w:tcPr>
            <w:tcW w:w="5484" w:type="dxa"/>
            <w:gridSpan w:val="4"/>
          </w:tcPr>
          <w:p w:rsidR="00696FC4" w:rsidRDefault="00142267">
            <w:pPr>
              <w:rPr>
                <w:rFonts w:cs="Arial"/>
              </w:rPr>
            </w:pPr>
            <w:r>
              <w:rPr>
                <w:bCs/>
                <w:szCs w:val="24"/>
              </w:rPr>
              <w:t>Councillor</w:t>
            </w:r>
            <w:r w:rsidR="00944147">
              <w:rPr>
                <w:bCs/>
                <w:szCs w:val="24"/>
              </w:rPr>
              <w:t xml:space="preserve"> Adam </w:t>
            </w:r>
            <w:proofErr w:type="spellStart"/>
            <w:r w:rsidR="00944147">
              <w:rPr>
                <w:bCs/>
                <w:szCs w:val="24"/>
              </w:rPr>
              <w:t>Swersky</w:t>
            </w:r>
            <w:proofErr w:type="spellEnd"/>
            <w:r w:rsidR="007F4174">
              <w:rPr>
                <w:bCs/>
                <w:szCs w:val="24"/>
              </w:rPr>
              <w:t>, Portfolio Holder for Finance</w:t>
            </w:r>
            <w:r w:rsidR="002A42A3">
              <w:rPr>
                <w:bCs/>
                <w:szCs w:val="24"/>
              </w:rPr>
              <w:t xml:space="preserve"> and </w:t>
            </w:r>
            <w:r w:rsidR="00A42B8B">
              <w:rPr>
                <w:bCs/>
                <w:szCs w:val="24"/>
              </w:rPr>
              <w:t>Resources</w:t>
            </w:r>
          </w:p>
        </w:tc>
      </w:tr>
      <w:tr w:rsidR="00696FC4" w:rsidTr="00074EF4">
        <w:trPr>
          <w:gridAfter w:val="1"/>
          <w:wAfter w:w="67" w:type="dxa"/>
        </w:trPr>
        <w:tc>
          <w:tcPr>
            <w:tcW w:w="3456" w:type="dxa"/>
            <w:gridSpan w:val="2"/>
          </w:tcPr>
          <w:p w:rsidR="00696FC4" w:rsidRDefault="00696FC4">
            <w:pPr>
              <w:pStyle w:val="Infotext"/>
              <w:rPr>
                <w:rFonts w:ascii="Arial Black" w:hAnsi="Arial Black" w:cs="Arial"/>
              </w:rPr>
            </w:pPr>
            <w:r>
              <w:rPr>
                <w:rFonts w:ascii="Arial Black" w:hAnsi="Arial Black" w:cs="Arial"/>
              </w:rPr>
              <w:t>Exempt:</w:t>
            </w:r>
          </w:p>
          <w:p w:rsidR="00696FC4" w:rsidRDefault="00696FC4">
            <w:pPr>
              <w:pStyle w:val="Infotext"/>
              <w:rPr>
                <w:rFonts w:ascii="Arial Black" w:hAnsi="Arial Black" w:cs="Arial"/>
              </w:rPr>
            </w:pPr>
          </w:p>
        </w:tc>
        <w:tc>
          <w:tcPr>
            <w:tcW w:w="5484" w:type="dxa"/>
            <w:gridSpan w:val="4"/>
          </w:tcPr>
          <w:p w:rsidR="00470E6E" w:rsidRDefault="00470E6E">
            <w:pPr>
              <w:rPr>
                <w:bCs/>
                <w:szCs w:val="24"/>
              </w:rPr>
            </w:pPr>
            <w:r w:rsidRPr="00470E6E">
              <w:rPr>
                <w:bCs/>
                <w:szCs w:val="24"/>
              </w:rPr>
              <w:t xml:space="preserve">No, except for Appendix </w:t>
            </w:r>
            <w:r w:rsidR="00C851F0">
              <w:rPr>
                <w:bCs/>
                <w:szCs w:val="24"/>
              </w:rPr>
              <w:t>5</w:t>
            </w:r>
            <w:r w:rsidRPr="00470E6E">
              <w:rPr>
                <w:bCs/>
                <w:szCs w:val="24"/>
              </w:rPr>
              <w:t>, which is exempt on the grounds that it contains “exempt information” under paragraph 3 of Part I of Schedule 12A to the Local Government Act 1972 (as amended) in that it contains information relating to the financial or business affairs of any particular person (including the authority holding that information</w:t>
            </w:r>
            <w:r w:rsidR="00AE7967">
              <w:rPr>
                <w:bCs/>
                <w:szCs w:val="24"/>
              </w:rPr>
              <w:t>)</w:t>
            </w:r>
          </w:p>
          <w:p w:rsidR="00696FC4" w:rsidRDefault="00696FC4">
            <w:pPr>
              <w:rPr>
                <w:rFonts w:cs="Arial"/>
              </w:rPr>
            </w:pPr>
            <w:r>
              <w:rPr>
                <w:rFonts w:cs="Arial"/>
              </w:rPr>
              <w:t xml:space="preserve"> </w:t>
            </w:r>
          </w:p>
        </w:tc>
      </w:tr>
      <w:tr w:rsidR="00696FC4" w:rsidTr="00074EF4">
        <w:trPr>
          <w:gridAfter w:val="1"/>
          <w:wAfter w:w="67" w:type="dxa"/>
        </w:trPr>
        <w:tc>
          <w:tcPr>
            <w:tcW w:w="3456" w:type="dxa"/>
            <w:gridSpan w:val="2"/>
          </w:tcPr>
          <w:p w:rsidR="00696FC4" w:rsidRDefault="00696FC4">
            <w:pPr>
              <w:pStyle w:val="Infotext"/>
              <w:rPr>
                <w:rFonts w:ascii="Arial Black" w:hAnsi="Arial Black" w:cs="Arial"/>
              </w:rPr>
            </w:pPr>
            <w:r>
              <w:rPr>
                <w:rFonts w:ascii="Arial Black" w:hAnsi="Arial Black" w:cs="Arial"/>
              </w:rPr>
              <w:t>Decision subject to Call-in:</w:t>
            </w:r>
          </w:p>
        </w:tc>
        <w:tc>
          <w:tcPr>
            <w:tcW w:w="5484" w:type="dxa"/>
            <w:gridSpan w:val="4"/>
          </w:tcPr>
          <w:p w:rsidR="00696FC4" w:rsidRDefault="00696FC4">
            <w:pPr>
              <w:rPr>
                <w:rFonts w:cs="Arial"/>
              </w:rPr>
            </w:pPr>
            <w:r>
              <w:rPr>
                <w:bCs/>
                <w:szCs w:val="24"/>
              </w:rPr>
              <w:t>Yes</w:t>
            </w:r>
          </w:p>
        </w:tc>
      </w:tr>
      <w:tr w:rsidR="000A55D4" w:rsidTr="00074EF4">
        <w:trPr>
          <w:gridAfter w:val="3"/>
          <w:wAfter w:w="497" w:type="dxa"/>
        </w:trPr>
        <w:tc>
          <w:tcPr>
            <w:tcW w:w="3456" w:type="dxa"/>
            <w:gridSpan w:val="2"/>
          </w:tcPr>
          <w:p w:rsidR="000A55D4" w:rsidRDefault="000A55D4" w:rsidP="0048119F">
            <w:pPr>
              <w:pStyle w:val="Infotext"/>
              <w:rPr>
                <w:rFonts w:ascii="Arial Black" w:hAnsi="Arial Black" w:cs="Arial"/>
              </w:rPr>
            </w:pPr>
            <w:r>
              <w:rPr>
                <w:rFonts w:ascii="Arial Black" w:hAnsi="Arial Black" w:cs="Arial"/>
              </w:rPr>
              <w:t>Wards affected:</w:t>
            </w:r>
          </w:p>
          <w:p w:rsidR="000A55D4" w:rsidRPr="00C13A5F" w:rsidRDefault="000A55D4" w:rsidP="0048119F">
            <w:pPr>
              <w:pStyle w:val="Infotext"/>
              <w:rPr>
                <w:rFonts w:ascii="Arial Black" w:hAnsi="Arial Black" w:cs="Arial"/>
              </w:rPr>
            </w:pPr>
          </w:p>
        </w:tc>
        <w:tc>
          <w:tcPr>
            <w:tcW w:w="5054" w:type="dxa"/>
            <w:gridSpan w:val="2"/>
          </w:tcPr>
          <w:p w:rsidR="000A55D4" w:rsidRPr="00E06FC6" w:rsidRDefault="000A55D4" w:rsidP="0048119F">
            <w:pPr>
              <w:pStyle w:val="Heading3"/>
              <w:rPr>
                <w:b w:val="0"/>
                <w:i w:val="0"/>
              </w:rPr>
            </w:pPr>
            <w:r>
              <w:rPr>
                <w:b w:val="0"/>
                <w:i w:val="0"/>
              </w:rPr>
              <w:t>All ward</w:t>
            </w:r>
            <w:r w:rsidR="00DA6A20">
              <w:rPr>
                <w:b w:val="0"/>
                <w:i w:val="0"/>
              </w:rPr>
              <w:t>s</w:t>
            </w:r>
          </w:p>
        </w:tc>
      </w:tr>
      <w:tr w:rsidR="00696FC4" w:rsidTr="00074EF4">
        <w:trPr>
          <w:gridAfter w:val="1"/>
          <w:wAfter w:w="67" w:type="dxa"/>
        </w:trPr>
        <w:tc>
          <w:tcPr>
            <w:tcW w:w="3456" w:type="dxa"/>
            <w:gridSpan w:val="2"/>
          </w:tcPr>
          <w:p w:rsidR="00696FC4" w:rsidRDefault="00696FC4">
            <w:pPr>
              <w:pStyle w:val="Infotext"/>
              <w:rPr>
                <w:rFonts w:ascii="Arial Black" w:hAnsi="Arial Black" w:cs="Arial"/>
              </w:rPr>
            </w:pPr>
            <w:r>
              <w:rPr>
                <w:rFonts w:ascii="Arial Black" w:hAnsi="Arial Black" w:cs="Arial"/>
              </w:rPr>
              <w:t>Enclosures:</w:t>
            </w:r>
          </w:p>
          <w:p w:rsidR="00696FC4" w:rsidRDefault="00696FC4">
            <w:pPr>
              <w:pStyle w:val="Infotext"/>
              <w:rPr>
                <w:rFonts w:ascii="Arial Black" w:hAnsi="Arial Black" w:cs="Arial"/>
              </w:rPr>
            </w:pPr>
          </w:p>
        </w:tc>
        <w:tc>
          <w:tcPr>
            <w:tcW w:w="5484" w:type="dxa"/>
            <w:gridSpan w:val="4"/>
          </w:tcPr>
          <w:p w:rsidR="003C0457" w:rsidRDefault="00696FC4">
            <w:pPr>
              <w:rPr>
                <w:rFonts w:cs="Arial"/>
                <w:szCs w:val="24"/>
              </w:rPr>
            </w:pPr>
            <w:r>
              <w:rPr>
                <w:rFonts w:cs="Arial"/>
              </w:rPr>
              <w:t xml:space="preserve">Appendix </w:t>
            </w:r>
            <w:r w:rsidR="00942F9C">
              <w:rPr>
                <w:rFonts w:cs="Arial"/>
              </w:rPr>
              <w:t>1</w:t>
            </w:r>
            <w:r>
              <w:rPr>
                <w:rFonts w:cs="Arial"/>
              </w:rPr>
              <w:t xml:space="preserve"> </w:t>
            </w:r>
            <w:r w:rsidR="002F2ECB">
              <w:rPr>
                <w:rFonts w:cs="Arial"/>
              </w:rPr>
              <w:t xml:space="preserve">- </w:t>
            </w:r>
            <w:r w:rsidR="0032045E">
              <w:rPr>
                <w:rFonts w:cs="Arial"/>
                <w:szCs w:val="24"/>
              </w:rPr>
              <w:t>Revenue</w:t>
            </w:r>
            <w:r w:rsidR="00BE2DC6">
              <w:rPr>
                <w:rFonts w:cs="Arial"/>
                <w:szCs w:val="24"/>
              </w:rPr>
              <w:t xml:space="preserve"> </w:t>
            </w:r>
            <w:r w:rsidR="002F3277" w:rsidRPr="002F3277">
              <w:rPr>
                <w:rFonts w:cs="Arial"/>
                <w:szCs w:val="24"/>
              </w:rPr>
              <w:t xml:space="preserve">Carry </w:t>
            </w:r>
            <w:r w:rsidR="00A42B8B">
              <w:rPr>
                <w:rFonts w:cs="Arial"/>
                <w:szCs w:val="24"/>
              </w:rPr>
              <w:t>F</w:t>
            </w:r>
            <w:r w:rsidR="002F3277" w:rsidRPr="002F3277">
              <w:rPr>
                <w:rFonts w:cs="Arial"/>
                <w:szCs w:val="24"/>
              </w:rPr>
              <w:t xml:space="preserve">orward Schedule </w:t>
            </w:r>
            <w:r w:rsidR="00B417B8">
              <w:rPr>
                <w:rFonts w:cs="Arial"/>
                <w:szCs w:val="24"/>
              </w:rPr>
              <w:t>2018/19</w:t>
            </w:r>
          </w:p>
          <w:p w:rsidR="00724573" w:rsidRDefault="00724573">
            <w:pPr>
              <w:rPr>
                <w:rFonts w:cs="Arial"/>
                <w:szCs w:val="24"/>
              </w:rPr>
            </w:pPr>
            <w:r>
              <w:rPr>
                <w:rFonts w:cs="Arial"/>
                <w:szCs w:val="24"/>
              </w:rPr>
              <w:t xml:space="preserve">Appendix 2 - Capital </w:t>
            </w:r>
            <w:r w:rsidR="00B417B8">
              <w:rPr>
                <w:rFonts w:cs="Arial"/>
                <w:szCs w:val="24"/>
              </w:rPr>
              <w:t xml:space="preserve">Receipts </w:t>
            </w:r>
            <w:r>
              <w:rPr>
                <w:rFonts w:cs="Arial"/>
                <w:szCs w:val="24"/>
              </w:rPr>
              <w:t>Flexibility Strategy</w:t>
            </w:r>
            <w:r w:rsidR="00B417B8">
              <w:rPr>
                <w:rFonts w:cs="Arial"/>
                <w:szCs w:val="24"/>
              </w:rPr>
              <w:t xml:space="preserve"> 2018/19</w:t>
            </w:r>
          </w:p>
          <w:p w:rsidR="001F4049" w:rsidRPr="001F4049" w:rsidRDefault="00B121F3" w:rsidP="001F4049">
            <w:pPr>
              <w:rPr>
                <w:rFonts w:cs="Arial"/>
                <w:szCs w:val="24"/>
              </w:rPr>
            </w:pPr>
            <w:r>
              <w:rPr>
                <w:rFonts w:cs="Arial"/>
                <w:szCs w:val="24"/>
              </w:rPr>
              <w:t xml:space="preserve">Appendix </w:t>
            </w:r>
            <w:r w:rsidR="00724573">
              <w:rPr>
                <w:rFonts w:cs="Arial"/>
                <w:szCs w:val="24"/>
              </w:rPr>
              <w:t>3</w:t>
            </w:r>
            <w:r>
              <w:rPr>
                <w:rFonts w:cs="Arial"/>
                <w:szCs w:val="24"/>
              </w:rPr>
              <w:t xml:space="preserve"> </w:t>
            </w:r>
            <w:r w:rsidR="00B65032">
              <w:rPr>
                <w:rFonts w:cs="Arial"/>
                <w:szCs w:val="24"/>
              </w:rPr>
              <w:t>-</w:t>
            </w:r>
            <w:r>
              <w:rPr>
                <w:rFonts w:cs="Arial"/>
                <w:szCs w:val="24"/>
              </w:rPr>
              <w:t xml:space="preserve"> </w:t>
            </w:r>
            <w:r w:rsidR="002F3277" w:rsidRPr="002F3277">
              <w:rPr>
                <w:rFonts w:cs="Arial"/>
                <w:szCs w:val="24"/>
              </w:rPr>
              <w:t>Movement</w:t>
            </w:r>
            <w:r w:rsidR="0032045E">
              <w:rPr>
                <w:rFonts w:cs="Arial"/>
                <w:szCs w:val="24"/>
              </w:rPr>
              <w:t xml:space="preserve"> in Reserve</w:t>
            </w:r>
            <w:r w:rsidR="00A42B8B">
              <w:rPr>
                <w:rFonts w:cs="Arial"/>
                <w:szCs w:val="24"/>
              </w:rPr>
              <w:t>s</w:t>
            </w:r>
            <w:r w:rsidR="002F3277" w:rsidRPr="002F3277">
              <w:rPr>
                <w:rFonts w:cs="Arial"/>
                <w:szCs w:val="24"/>
              </w:rPr>
              <w:t xml:space="preserve"> 2018</w:t>
            </w:r>
            <w:r w:rsidR="000F40E5">
              <w:rPr>
                <w:rFonts w:cs="Arial"/>
                <w:szCs w:val="24"/>
              </w:rPr>
              <w:t>/19</w:t>
            </w:r>
          </w:p>
          <w:p w:rsidR="002F3277" w:rsidRPr="002F3277" w:rsidRDefault="00436EBA" w:rsidP="002F3277">
            <w:pPr>
              <w:rPr>
                <w:rFonts w:cs="Arial"/>
                <w:szCs w:val="24"/>
              </w:rPr>
            </w:pPr>
            <w:r>
              <w:rPr>
                <w:rFonts w:cs="Arial"/>
                <w:szCs w:val="24"/>
              </w:rPr>
              <w:t xml:space="preserve">Appendix </w:t>
            </w:r>
            <w:r w:rsidR="00724573">
              <w:rPr>
                <w:rFonts w:cs="Arial"/>
                <w:szCs w:val="24"/>
              </w:rPr>
              <w:t>4</w:t>
            </w:r>
            <w:r>
              <w:rPr>
                <w:rFonts w:cs="Arial"/>
                <w:szCs w:val="24"/>
              </w:rPr>
              <w:t xml:space="preserve"> </w:t>
            </w:r>
            <w:r w:rsidR="003F74D4">
              <w:rPr>
                <w:rFonts w:cs="Arial"/>
                <w:szCs w:val="24"/>
              </w:rPr>
              <w:t>-</w:t>
            </w:r>
            <w:r>
              <w:rPr>
                <w:rFonts w:cs="Arial"/>
                <w:szCs w:val="24"/>
              </w:rPr>
              <w:t xml:space="preserve"> </w:t>
            </w:r>
            <w:r w:rsidR="002F3277" w:rsidRPr="002F3277">
              <w:rPr>
                <w:rFonts w:cs="Arial"/>
                <w:szCs w:val="24"/>
              </w:rPr>
              <w:t>201</w:t>
            </w:r>
            <w:r w:rsidR="00EB2F05">
              <w:rPr>
                <w:rFonts w:cs="Arial"/>
                <w:szCs w:val="24"/>
              </w:rPr>
              <w:t>8</w:t>
            </w:r>
            <w:r w:rsidR="00542DE2">
              <w:rPr>
                <w:rFonts w:cs="Arial"/>
                <w:szCs w:val="24"/>
              </w:rPr>
              <w:t>/</w:t>
            </w:r>
            <w:r w:rsidR="002F3277" w:rsidRPr="002F3277">
              <w:rPr>
                <w:rFonts w:cs="Arial"/>
                <w:szCs w:val="24"/>
              </w:rPr>
              <w:t>1</w:t>
            </w:r>
            <w:r w:rsidR="00EB2F05">
              <w:rPr>
                <w:rFonts w:cs="Arial"/>
                <w:szCs w:val="24"/>
              </w:rPr>
              <w:t>9</w:t>
            </w:r>
            <w:r w:rsidR="002F3277" w:rsidRPr="002F3277">
              <w:rPr>
                <w:rFonts w:cs="Arial"/>
                <w:szCs w:val="24"/>
              </w:rPr>
              <w:t xml:space="preserve"> </w:t>
            </w:r>
            <w:r w:rsidR="003F74D4">
              <w:rPr>
                <w:rFonts w:cs="Arial"/>
                <w:szCs w:val="24"/>
              </w:rPr>
              <w:t>MTFS</w:t>
            </w:r>
            <w:r w:rsidR="0032045E">
              <w:rPr>
                <w:rFonts w:cs="Arial"/>
                <w:szCs w:val="24"/>
              </w:rPr>
              <w:t xml:space="preserve"> Savings Tracker</w:t>
            </w:r>
          </w:p>
          <w:p w:rsidR="007F2DCB" w:rsidRPr="006F766E" w:rsidRDefault="007F2DCB">
            <w:pPr>
              <w:rPr>
                <w:rFonts w:cs="Arial"/>
                <w:i/>
                <w:szCs w:val="24"/>
              </w:rPr>
            </w:pPr>
            <w:r>
              <w:rPr>
                <w:rFonts w:cs="Arial"/>
                <w:szCs w:val="24"/>
              </w:rPr>
              <w:t xml:space="preserve">Appendix </w:t>
            </w:r>
            <w:r w:rsidR="00724573">
              <w:rPr>
                <w:rFonts w:cs="Arial"/>
                <w:szCs w:val="24"/>
              </w:rPr>
              <w:t>5 -</w:t>
            </w:r>
            <w:r>
              <w:rPr>
                <w:rFonts w:cs="Arial"/>
                <w:szCs w:val="24"/>
              </w:rPr>
              <w:t xml:space="preserve"> </w:t>
            </w:r>
            <w:r w:rsidR="002D713C" w:rsidRPr="002D713C">
              <w:rPr>
                <w:rFonts w:cs="Arial"/>
                <w:szCs w:val="24"/>
              </w:rPr>
              <w:t>Co</w:t>
            </w:r>
            <w:r w:rsidR="000F40E5">
              <w:rPr>
                <w:rFonts w:cs="Arial"/>
                <w:szCs w:val="24"/>
              </w:rPr>
              <w:t xml:space="preserve">mmercialisation </w:t>
            </w:r>
            <w:r w:rsidR="002D713C" w:rsidRPr="002D713C">
              <w:rPr>
                <w:rFonts w:cs="Arial"/>
                <w:szCs w:val="24"/>
              </w:rPr>
              <w:t xml:space="preserve"> </w:t>
            </w:r>
            <w:r w:rsidR="00F01B7D">
              <w:rPr>
                <w:rFonts w:cs="Arial"/>
                <w:szCs w:val="24"/>
              </w:rPr>
              <w:t xml:space="preserve">Update  2018/19  </w:t>
            </w:r>
            <w:proofErr w:type="spellStart"/>
            <w:r w:rsidR="00F01B7D">
              <w:rPr>
                <w:rFonts w:cs="Arial"/>
                <w:szCs w:val="24"/>
              </w:rPr>
              <w:t>Qtr</w:t>
            </w:r>
            <w:proofErr w:type="spellEnd"/>
            <w:r w:rsidR="00F01B7D">
              <w:rPr>
                <w:rFonts w:cs="Arial"/>
                <w:szCs w:val="24"/>
              </w:rPr>
              <w:t xml:space="preserve"> 4</w:t>
            </w:r>
          </w:p>
          <w:p w:rsidR="002D713C" w:rsidRPr="002D713C" w:rsidRDefault="00C624C5" w:rsidP="002D713C">
            <w:pPr>
              <w:rPr>
                <w:rFonts w:cs="Arial"/>
                <w:szCs w:val="24"/>
              </w:rPr>
            </w:pPr>
            <w:r>
              <w:rPr>
                <w:rFonts w:cs="Arial"/>
                <w:szCs w:val="24"/>
              </w:rPr>
              <w:t xml:space="preserve">Appendix </w:t>
            </w:r>
            <w:r w:rsidR="00724573">
              <w:rPr>
                <w:rFonts w:cs="Arial"/>
                <w:szCs w:val="24"/>
              </w:rPr>
              <w:t>6</w:t>
            </w:r>
            <w:r>
              <w:rPr>
                <w:rFonts w:cs="Arial"/>
                <w:szCs w:val="24"/>
              </w:rPr>
              <w:t xml:space="preserve"> </w:t>
            </w:r>
            <w:r w:rsidR="003F74D4">
              <w:rPr>
                <w:rFonts w:cs="Arial"/>
                <w:szCs w:val="24"/>
              </w:rPr>
              <w:t>-</w:t>
            </w:r>
            <w:r w:rsidR="002D713C" w:rsidRPr="002D713C">
              <w:rPr>
                <w:rFonts w:cs="Arial"/>
              </w:rPr>
              <w:t xml:space="preserve"> </w:t>
            </w:r>
            <w:r w:rsidR="002D713C" w:rsidRPr="002D713C">
              <w:rPr>
                <w:rFonts w:cs="Arial"/>
                <w:szCs w:val="24"/>
              </w:rPr>
              <w:t xml:space="preserve">Capital </w:t>
            </w:r>
            <w:r w:rsidR="002D713C">
              <w:rPr>
                <w:rFonts w:cs="Arial"/>
                <w:szCs w:val="24"/>
              </w:rPr>
              <w:t>Outturn</w:t>
            </w:r>
            <w:r w:rsidR="00FE1411">
              <w:rPr>
                <w:rFonts w:cs="Arial"/>
                <w:szCs w:val="24"/>
              </w:rPr>
              <w:t xml:space="preserve"> and Funding</w:t>
            </w:r>
            <w:r w:rsidR="00B417B8">
              <w:rPr>
                <w:rFonts w:cs="Arial"/>
                <w:szCs w:val="24"/>
              </w:rPr>
              <w:t xml:space="preserve"> 2018/19</w:t>
            </w:r>
            <w:r w:rsidR="002D713C" w:rsidRPr="002D713C" w:rsidDel="00950FEF">
              <w:rPr>
                <w:rFonts w:cs="Arial"/>
                <w:szCs w:val="24"/>
              </w:rPr>
              <w:t xml:space="preserve"> </w:t>
            </w:r>
          </w:p>
          <w:p w:rsidR="00470E6E" w:rsidRDefault="00470E6E">
            <w:pPr>
              <w:rPr>
                <w:rFonts w:cs="Arial"/>
                <w:szCs w:val="24"/>
              </w:rPr>
            </w:pPr>
          </w:p>
          <w:p w:rsidR="00F51D7C" w:rsidRDefault="00F51D7C">
            <w:pPr>
              <w:rPr>
                <w:rFonts w:cs="Arial"/>
                <w:szCs w:val="24"/>
              </w:rPr>
            </w:pPr>
          </w:p>
          <w:p w:rsidR="007B774D" w:rsidRDefault="007B774D">
            <w:pPr>
              <w:rPr>
                <w:rFonts w:cs="Arial"/>
                <w:szCs w:val="24"/>
              </w:rPr>
            </w:pPr>
          </w:p>
          <w:p w:rsidR="0032045E" w:rsidRDefault="0032045E">
            <w:pPr>
              <w:rPr>
                <w:rFonts w:cs="Arial"/>
                <w:szCs w:val="24"/>
              </w:rPr>
            </w:pPr>
          </w:p>
          <w:p w:rsidR="0032045E" w:rsidRDefault="0032045E">
            <w:pPr>
              <w:rPr>
                <w:rFonts w:cs="Arial"/>
                <w:szCs w:val="24"/>
              </w:rPr>
            </w:pPr>
          </w:p>
          <w:p w:rsidR="008A1B85" w:rsidRDefault="008A1B85">
            <w:pPr>
              <w:rPr>
                <w:rFonts w:cs="Arial"/>
                <w:szCs w:val="24"/>
              </w:rPr>
            </w:pPr>
          </w:p>
        </w:tc>
      </w:tr>
      <w:tr w:rsidR="00696FC4" w:rsidTr="00484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Pr>
        <w:tc>
          <w:tcPr>
            <w:tcW w:w="8897" w:type="dxa"/>
            <w:gridSpan w:val="5"/>
            <w:tcBorders>
              <w:top w:val="nil"/>
              <w:left w:val="nil"/>
              <w:right w:val="nil"/>
            </w:tcBorders>
          </w:tcPr>
          <w:p w:rsidR="00696FC4" w:rsidRDefault="00696FC4">
            <w:pPr>
              <w:pStyle w:val="Heading1"/>
              <w:ind w:right="-480"/>
            </w:pPr>
            <w:r>
              <w:lastRenderedPageBreak/>
              <w:t>Section 1 – Summary and Recommendations</w:t>
            </w:r>
          </w:p>
          <w:p w:rsidR="00696FC4" w:rsidRDefault="00696FC4">
            <w:pPr>
              <w:ind w:right="-480"/>
            </w:pPr>
          </w:p>
        </w:tc>
      </w:tr>
      <w:tr w:rsidR="00696FC4" w:rsidRPr="00944147" w:rsidTr="00957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8" w:type="dxa"/>
          <w:wAfter w:w="110" w:type="dxa"/>
        </w:trPr>
        <w:tc>
          <w:tcPr>
            <w:tcW w:w="8789" w:type="dxa"/>
            <w:gridSpan w:val="4"/>
          </w:tcPr>
          <w:p w:rsidR="000D5EBC" w:rsidRDefault="00696FC4">
            <w:pPr>
              <w:pStyle w:val="BodyText3"/>
              <w:jc w:val="left"/>
            </w:pPr>
            <w:r w:rsidRPr="00E229A7">
              <w:t xml:space="preserve">This report sets out the Council’s revenue and capital </w:t>
            </w:r>
            <w:r w:rsidR="00F91628" w:rsidRPr="00E229A7">
              <w:t>outturn</w:t>
            </w:r>
            <w:r w:rsidRPr="00E229A7">
              <w:t xml:space="preserve"> position </w:t>
            </w:r>
            <w:r w:rsidR="00F91628" w:rsidRPr="00E229A7">
              <w:t>for 20</w:t>
            </w:r>
            <w:r w:rsidR="00E44C47">
              <w:t>18</w:t>
            </w:r>
            <w:r w:rsidR="000F40E5">
              <w:t>/19</w:t>
            </w:r>
            <w:r w:rsidR="00D21B5F">
              <w:t>.</w:t>
            </w:r>
          </w:p>
          <w:p w:rsidR="00D21B5F" w:rsidRPr="00E229A7" w:rsidRDefault="00D21B5F">
            <w:pPr>
              <w:pStyle w:val="BodyText3"/>
              <w:jc w:val="left"/>
            </w:pPr>
          </w:p>
          <w:p w:rsidR="00696FC4" w:rsidRPr="00E229A7" w:rsidRDefault="00696FC4">
            <w:pPr>
              <w:pStyle w:val="BodyText3"/>
              <w:jc w:val="left"/>
              <w:rPr>
                <w:b/>
                <w:bCs/>
                <w:u w:val="single"/>
              </w:rPr>
            </w:pPr>
            <w:r w:rsidRPr="00E229A7">
              <w:rPr>
                <w:b/>
                <w:bCs/>
                <w:u w:val="single"/>
              </w:rPr>
              <w:t xml:space="preserve">Recommendations: </w:t>
            </w:r>
          </w:p>
          <w:p w:rsidR="00457774" w:rsidRPr="006F766E" w:rsidRDefault="00457774">
            <w:pPr>
              <w:pStyle w:val="BodyText3"/>
              <w:jc w:val="left"/>
              <w:rPr>
                <w:b/>
                <w:bCs/>
                <w:highlight w:val="yellow"/>
                <w:u w:val="single"/>
              </w:rPr>
            </w:pPr>
          </w:p>
          <w:p w:rsidR="0097586C" w:rsidRDefault="00C41C83" w:rsidP="00400300">
            <w:pPr>
              <w:pStyle w:val="BodyText3"/>
              <w:numPr>
                <w:ilvl w:val="0"/>
                <w:numId w:val="3"/>
              </w:numPr>
              <w:ind w:left="1077" w:hanging="357"/>
            </w:pPr>
            <w:r w:rsidRPr="00E229A7">
              <w:t>That Cabinet notes</w:t>
            </w:r>
            <w:r w:rsidR="00696FC4" w:rsidRPr="00E229A7">
              <w:t xml:space="preserve"> the revenue and capital outturn position </w:t>
            </w:r>
            <w:r w:rsidR="00F4695D" w:rsidRPr="00E229A7">
              <w:t>for 20</w:t>
            </w:r>
            <w:r w:rsidR="000F40E5">
              <w:t>18</w:t>
            </w:r>
            <w:r w:rsidR="00E44C47">
              <w:t>/1</w:t>
            </w:r>
            <w:r w:rsidR="000F40E5">
              <w:t>9</w:t>
            </w:r>
            <w:r w:rsidR="00C86780">
              <w:t xml:space="preserve"> as </w:t>
            </w:r>
            <w:r w:rsidR="00A42B8B">
              <w:t>summarised</w:t>
            </w:r>
            <w:r w:rsidR="00C86780">
              <w:t xml:space="preserve"> in paragraphs</w:t>
            </w:r>
            <w:r w:rsidR="00A42B8B">
              <w:t xml:space="preserve"> 1</w:t>
            </w:r>
            <w:r w:rsidR="0097586C">
              <w:t xml:space="preserve"> to 1.</w:t>
            </w:r>
            <w:r w:rsidR="00802840">
              <w:t>2</w:t>
            </w:r>
            <w:r w:rsidR="0097586C">
              <w:t>.</w:t>
            </w:r>
          </w:p>
          <w:p w:rsidR="004F7C92" w:rsidRDefault="00C86780">
            <w:pPr>
              <w:pStyle w:val="BodyText3"/>
              <w:ind w:left="1077"/>
            </w:pPr>
            <w:r>
              <w:t xml:space="preserve"> </w:t>
            </w:r>
          </w:p>
          <w:p w:rsidR="00793A11" w:rsidRPr="006F766E" w:rsidRDefault="00C41C83" w:rsidP="00AA3B74">
            <w:pPr>
              <w:pStyle w:val="BodyText3"/>
              <w:numPr>
                <w:ilvl w:val="0"/>
                <w:numId w:val="3"/>
              </w:numPr>
              <w:rPr>
                <w:color w:val="FF0000"/>
              </w:rPr>
            </w:pPr>
            <w:r w:rsidRPr="002B2BAE">
              <w:t xml:space="preserve">That Cabinet </w:t>
            </w:r>
            <w:r w:rsidR="00B85942">
              <w:t>notes</w:t>
            </w:r>
            <w:r w:rsidRPr="002B2BAE">
              <w:t xml:space="preserve"> </w:t>
            </w:r>
            <w:r w:rsidR="00EF2466" w:rsidRPr="002B2BAE">
              <w:t xml:space="preserve">the </w:t>
            </w:r>
            <w:r w:rsidR="000A78FF">
              <w:t xml:space="preserve">movement </w:t>
            </w:r>
            <w:r w:rsidR="001E0D1B">
              <w:t xml:space="preserve">between </w:t>
            </w:r>
            <w:r w:rsidR="00E246D7" w:rsidRPr="002B2BAE">
              <w:t xml:space="preserve">reserves </w:t>
            </w:r>
            <w:r w:rsidR="00D21B5F">
              <w:t xml:space="preserve">as summarised in table </w:t>
            </w:r>
            <w:r w:rsidR="004C1601">
              <w:t>4</w:t>
            </w:r>
            <w:r w:rsidR="00D21B5F">
              <w:t xml:space="preserve">, </w:t>
            </w:r>
            <w:r w:rsidR="00F4695D" w:rsidRPr="002B2BAE">
              <w:t>paragraph</w:t>
            </w:r>
            <w:r w:rsidR="00C86780">
              <w:t>s</w:t>
            </w:r>
            <w:r w:rsidR="009A3DC3">
              <w:t xml:space="preserve"> 2.</w:t>
            </w:r>
            <w:r w:rsidR="00044093">
              <w:t>31</w:t>
            </w:r>
            <w:r w:rsidR="002C0C72">
              <w:t xml:space="preserve"> to 2.</w:t>
            </w:r>
            <w:r w:rsidR="00F01B7D">
              <w:t>4</w:t>
            </w:r>
            <w:r w:rsidR="00044093">
              <w:t>4</w:t>
            </w:r>
            <w:r w:rsidR="00F01B7D">
              <w:t xml:space="preserve">. </w:t>
            </w:r>
          </w:p>
          <w:p w:rsidR="00EF2466" w:rsidRPr="002B2BAE" w:rsidRDefault="00EF2466" w:rsidP="00AA3B74">
            <w:pPr>
              <w:pStyle w:val="BodyText3"/>
              <w:ind w:left="1080"/>
              <w:rPr>
                <w:color w:val="FF0000"/>
              </w:rPr>
            </w:pPr>
          </w:p>
          <w:p w:rsidR="00445A62" w:rsidRDefault="00C41C83" w:rsidP="00AA3B74">
            <w:pPr>
              <w:pStyle w:val="BodyText3"/>
              <w:numPr>
                <w:ilvl w:val="0"/>
                <w:numId w:val="3"/>
              </w:numPr>
              <w:ind w:left="1077" w:hanging="357"/>
            </w:pPr>
            <w:r w:rsidRPr="002B2BAE">
              <w:t xml:space="preserve">That Cabinet </w:t>
            </w:r>
            <w:r w:rsidR="00AA3101">
              <w:t>notes</w:t>
            </w:r>
            <w:r w:rsidRPr="002B2BAE">
              <w:t xml:space="preserve"> </w:t>
            </w:r>
            <w:r w:rsidR="00445A62" w:rsidRPr="002B2BAE">
              <w:t xml:space="preserve">the revenue carry forwards </w:t>
            </w:r>
            <w:r w:rsidR="00F01B7D">
              <w:t xml:space="preserve">as summarised in table </w:t>
            </w:r>
            <w:r w:rsidR="00606C3F">
              <w:t>5</w:t>
            </w:r>
            <w:r w:rsidR="00F01B7D">
              <w:t xml:space="preserve">, </w:t>
            </w:r>
            <w:r w:rsidR="00445A62" w:rsidRPr="002B2BAE">
              <w:t>paragraph</w:t>
            </w:r>
            <w:r w:rsidR="00044093">
              <w:t xml:space="preserve"> </w:t>
            </w:r>
            <w:proofErr w:type="gramStart"/>
            <w:r w:rsidR="002C0C72">
              <w:t>2.</w:t>
            </w:r>
            <w:r w:rsidR="00FF61DC">
              <w:t>4</w:t>
            </w:r>
            <w:r w:rsidR="00044093">
              <w:t>5</w:t>
            </w:r>
            <w:r w:rsidR="00F01B7D">
              <w:t>,</w:t>
            </w:r>
            <w:r w:rsidR="00991001" w:rsidRPr="00991001">
              <w:rPr>
                <w:rFonts w:cs="Times New Roman"/>
                <w:szCs w:val="20"/>
              </w:rPr>
              <w:t xml:space="preserve"> </w:t>
            </w:r>
            <w:r w:rsidR="00991001" w:rsidRPr="00991001">
              <w:t>that</w:t>
            </w:r>
            <w:proofErr w:type="gramEnd"/>
            <w:r w:rsidR="00991001" w:rsidRPr="00991001">
              <w:t xml:space="preserve"> have been approved under delegated authority by the Director of Finance</w:t>
            </w:r>
            <w:r w:rsidR="00991001">
              <w:t>.</w:t>
            </w:r>
          </w:p>
          <w:p w:rsidR="00793A11" w:rsidRPr="002B2BAE" w:rsidRDefault="00793A11" w:rsidP="004F2132">
            <w:pPr>
              <w:pStyle w:val="BodyText3"/>
            </w:pPr>
          </w:p>
          <w:p w:rsidR="00C26D7A" w:rsidRDefault="00570686" w:rsidP="00AA3B74">
            <w:pPr>
              <w:pStyle w:val="BodyText3"/>
              <w:numPr>
                <w:ilvl w:val="0"/>
                <w:numId w:val="3"/>
              </w:numPr>
              <w:ind w:left="1077" w:hanging="357"/>
            </w:pPr>
            <w:r w:rsidRPr="002B2BAE">
              <w:t xml:space="preserve">That Cabinet notes the </w:t>
            </w:r>
            <w:r w:rsidR="00F01B7D">
              <w:t xml:space="preserve">slippages </w:t>
            </w:r>
            <w:r w:rsidRPr="002B2BAE">
              <w:t xml:space="preserve">on the </w:t>
            </w:r>
            <w:r w:rsidR="00F01B7D">
              <w:t>C</w:t>
            </w:r>
            <w:r w:rsidRPr="002B2BAE">
              <w:t xml:space="preserve">apital </w:t>
            </w:r>
            <w:r w:rsidR="00F01B7D">
              <w:t>P</w:t>
            </w:r>
            <w:r w:rsidRPr="002B2BAE">
              <w:t>rogramme</w:t>
            </w:r>
            <w:r w:rsidR="00F01B7D">
              <w:t>,</w:t>
            </w:r>
            <w:r w:rsidRPr="002B2BAE">
              <w:t xml:space="preserve"> </w:t>
            </w:r>
            <w:r w:rsidR="00F01B7D">
              <w:t xml:space="preserve">summarised in </w:t>
            </w:r>
            <w:r w:rsidR="007B774D">
              <w:t>table</w:t>
            </w:r>
            <w:r w:rsidR="00F01B7D">
              <w:t>s</w:t>
            </w:r>
            <w:r w:rsidR="00F84224">
              <w:t xml:space="preserve"> </w:t>
            </w:r>
            <w:r w:rsidR="00723202">
              <w:t>9</w:t>
            </w:r>
            <w:r w:rsidR="00F01B7D">
              <w:t xml:space="preserve"> and</w:t>
            </w:r>
            <w:r w:rsidR="00D51E2C">
              <w:t xml:space="preserve"> </w:t>
            </w:r>
            <w:r w:rsidR="00F01B7D">
              <w:t>1</w:t>
            </w:r>
            <w:r w:rsidR="00723202">
              <w:t>0</w:t>
            </w:r>
            <w:r w:rsidR="00D51E2C">
              <w:t xml:space="preserve"> </w:t>
            </w:r>
            <w:r w:rsidRPr="002B2BAE">
              <w:t>that have been approved under delegated authority by the Director of Finance</w:t>
            </w:r>
            <w:r w:rsidR="00F01B7D">
              <w:t xml:space="preserve"> for carry forward into 2019/20.</w:t>
            </w:r>
          </w:p>
          <w:p w:rsidR="00EF661C" w:rsidRDefault="00EF661C" w:rsidP="00957F91">
            <w:pPr>
              <w:pStyle w:val="ListParagraph"/>
            </w:pPr>
          </w:p>
          <w:p w:rsidR="00EF661C" w:rsidRDefault="00EF661C" w:rsidP="00AA3B74">
            <w:pPr>
              <w:pStyle w:val="BodyText3"/>
              <w:numPr>
                <w:ilvl w:val="0"/>
                <w:numId w:val="3"/>
              </w:numPr>
              <w:ind w:left="1077" w:hanging="357"/>
            </w:pPr>
            <w:r>
              <w:t xml:space="preserve">That </w:t>
            </w:r>
            <w:r w:rsidRPr="00EF661C">
              <w:t xml:space="preserve">Cabinet note the Quarter </w:t>
            </w:r>
            <w:r>
              <w:t>4</w:t>
            </w:r>
            <w:r w:rsidR="00534B4D">
              <w:t xml:space="preserve"> Commercialisation Update</w:t>
            </w:r>
            <w:r w:rsidRPr="00EF661C">
              <w:t xml:space="preserve"> as specified in Appendix 5 (Part II report</w:t>
            </w:r>
            <w:r w:rsidR="00534B4D">
              <w:t>)</w:t>
            </w:r>
            <w:r w:rsidR="00B94D9C">
              <w:t>.</w:t>
            </w:r>
          </w:p>
          <w:p w:rsidR="00570686" w:rsidRDefault="00570686" w:rsidP="004F2132">
            <w:pPr>
              <w:pStyle w:val="BodyText3"/>
            </w:pPr>
          </w:p>
          <w:p w:rsidR="00457774" w:rsidRPr="00944147" w:rsidRDefault="00457774" w:rsidP="00457774">
            <w:pPr>
              <w:pStyle w:val="BodyText3"/>
              <w:jc w:val="left"/>
              <w:rPr>
                <w:b/>
                <w:bCs/>
                <w:u w:val="single"/>
              </w:rPr>
            </w:pPr>
            <w:r w:rsidRPr="00944147">
              <w:rPr>
                <w:b/>
                <w:bCs/>
                <w:u w:val="single"/>
              </w:rPr>
              <w:t>Reason (for recommendation)</w:t>
            </w:r>
          </w:p>
          <w:p w:rsidR="00457774" w:rsidRPr="006F766E" w:rsidRDefault="00457774">
            <w:pPr>
              <w:ind w:right="-480"/>
              <w:rPr>
                <w:rFonts w:cs="Arial"/>
                <w:color w:val="FF0000"/>
                <w:szCs w:val="24"/>
                <w:highlight w:val="yellow"/>
              </w:rPr>
            </w:pPr>
            <w:r w:rsidRPr="00944147">
              <w:rPr>
                <w:rFonts w:cs="Arial"/>
              </w:rPr>
              <w:t>To report the fina</w:t>
            </w:r>
            <w:r w:rsidR="00F01B7D">
              <w:rPr>
                <w:rFonts w:cs="Arial"/>
              </w:rPr>
              <w:t>l</w:t>
            </w:r>
            <w:r w:rsidRPr="00944147">
              <w:rPr>
                <w:rFonts w:cs="Arial"/>
              </w:rPr>
              <w:t xml:space="preserve"> position </w:t>
            </w:r>
            <w:r w:rsidR="00D21B5F">
              <w:rPr>
                <w:rFonts w:cs="Arial"/>
              </w:rPr>
              <w:t>for the financial year 2018/19</w:t>
            </w:r>
          </w:p>
        </w:tc>
      </w:tr>
    </w:tbl>
    <w:p w:rsidR="00484862" w:rsidRDefault="00484862" w:rsidP="00484862"/>
    <w:p w:rsidR="00696FC4" w:rsidRDefault="004F2132" w:rsidP="00957F91">
      <w:pPr>
        <w:pStyle w:val="Heading1"/>
      </w:pPr>
      <w:r>
        <w:t>Section 2 – Report</w:t>
      </w:r>
    </w:p>
    <w:p w:rsidR="0025029B" w:rsidRPr="0025029B" w:rsidRDefault="0025029B" w:rsidP="00957F91"/>
    <w:p w:rsidR="00417DD9" w:rsidRDefault="00DD7468" w:rsidP="00957F91">
      <w:pPr>
        <w:pStyle w:val="ListParagraph"/>
        <w:ind w:left="567"/>
        <w:rPr>
          <w:rFonts w:cs="Arial"/>
          <w:b/>
        </w:rPr>
      </w:pPr>
      <w:r w:rsidRPr="00DD7468">
        <w:rPr>
          <w:rFonts w:cs="Arial"/>
          <w:b/>
        </w:rPr>
        <w:t>EXECUTIVE SUMMARY</w:t>
      </w:r>
    </w:p>
    <w:p w:rsidR="00417DD9" w:rsidRDefault="00417DD9" w:rsidP="00957F91">
      <w:pPr>
        <w:pStyle w:val="ListParagraph"/>
        <w:ind w:left="567"/>
        <w:rPr>
          <w:rFonts w:cs="Arial"/>
          <w:b/>
        </w:rPr>
      </w:pPr>
    </w:p>
    <w:p w:rsidR="0025029B" w:rsidRDefault="00C532D9" w:rsidP="00957F91">
      <w:pPr>
        <w:pStyle w:val="ListParagraph"/>
        <w:numPr>
          <w:ilvl w:val="0"/>
          <w:numId w:val="13"/>
        </w:numPr>
        <w:ind w:left="567" w:hanging="567"/>
        <w:jc w:val="both"/>
      </w:pPr>
      <w:r w:rsidRPr="00D0099C">
        <w:t>The revenue outturn position f</w:t>
      </w:r>
      <w:r w:rsidRPr="00DC3A2B">
        <w:t>or the Council</w:t>
      </w:r>
      <w:r w:rsidRPr="00D0099C">
        <w:t>’s General Fund at the end of the financial year 2018/19 year shows a balanced position after transfer to reserves. The Council ha</w:t>
      </w:r>
      <w:r w:rsidR="006754B2" w:rsidRPr="00D0099C">
        <w:t>s</w:t>
      </w:r>
      <w:r w:rsidRPr="00D0099C">
        <w:t xml:space="preserve"> been working towards a planned underspend of at least </w:t>
      </w:r>
      <w:r w:rsidR="006754B2" w:rsidRPr="00D0099C">
        <w:t>(</w:t>
      </w:r>
      <w:r w:rsidRPr="00D0099C">
        <w:t>£2.2m</w:t>
      </w:r>
      <w:r w:rsidR="006754B2" w:rsidRPr="00D0099C">
        <w:t>)</w:t>
      </w:r>
      <w:r w:rsidRPr="00D0099C">
        <w:t xml:space="preserve"> to support the 2019/20 budget.  Through robust financial management the planned underspend has been achieved and increased to </w:t>
      </w:r>
      <w:r w:rsidR="006754B2" w:rsidRPr="00D0099C">
        <w:t>(</w:t>
      </w:r>
      <w:r w:rsidRPr="00D0099C">
        <w:t>£3.110m</w:t>
      </w:r>
      <w:r w:rsidR="006754B2" w:rsidRPr="00D0099C">
        <w:t xml:space="preserve">). </w:t>
      </w:r>
    </w:p>
    <w:p w:rsidR="00AA6DA6" w:rsidRPr="00163843" w:rsidRDefault="00273D3A" w:rsidP="00957F91">
      <w:pPr>
        <w:ind w:left="6480" w:right="306" w:firstLine="720"/>
        <w:jc w:val="both"/>
      </w:pPr>
      <w:r w:rsidRPr="00163843">
        <w:t xml:space="preserve">     </w:t>
      </w:r>
      <w:r w:rsidR="002266F5" w:rsidRPr="00163843">
        <w:tab/>
      </w:r>
      <w:r w:rsidR="002266F5" w:rsidRPr="00163843">
        <w:tab/>
        <w:t xml:space="preserve">   </w:t>
      </w:r>
      <w:r w:rsidR="001E20C5" w:rsidRPr="00163843">
        <w:t xml:space="preserve"> </w:t>
      </w:r>
      <w:r w:rsidR="002266F5" w:rsidRPr="00163843">
        <w:t xml:space="preserve">  </w:t>
      </w:r>
    </w:p>
    <w:p w:rsidR="00991001" w:rsidRPr="00C16A93" w:rsidRDefault="000C1D45" w:rsidP="00957F91">
      <w:pPr>
        <w:pStyle w:val="ListParagraph"/>
        <w:numPr>
          <w:ilvl w:val="2"/>
          <w:numId w:val="169"/>
        </w:numPr>
        <w:ind w:left="567" w:hanging="709"/>
        <w:jc w:val="both"/>
        <w:rPr>
          <w:rFonts w:cs="Arial"/>
        </w:rPr>
      </w:pPr>
      <w:r>
        <w:t xml:space="preserve">The balanced budget position assumes </w:t>
      </w:r>
      <w:r w:rsidR="00D21B5F">
        <w:t>total</w:t>
      </w:r>
      <w:r w:rsidR="00991001">
        <w:t xml:space="preserve"> revenue budget</w:t>
      </w:r>
      <w:r>
        <w:t xml:space="preserve"> carry forward of </w:t>
      </w:r>
      <w:r w:rsidR="00EF414A" w:rsidRPr="006F766E">
        <w:t>£</w:t>
      </w:r>
      <w:r w:rsidR="002B5823">
        <w:t>2.38</w:t>
      </w:r>
      <w:r w:rsidR="00AA705C">
        <w:t>5</w:t>
      </w:r>
      <w:r w:rsidR="005B2A0E">
        <w:t>m</w:t>
      </w:r>
      <w:r>
        <w:t xml:space="preserve">, </w:t>
      </w:r>
      <w:r w:rsidR="00991001">
        <w:t>which</w:t>
      </w:r>
      <w:r>
        <w:t xml:space="preserve"> is added </w:t>
      </w:r>
      <w:r w:rsidR="00D45D35">
        <w:t>to reserves in 201</w:t>
      </w:r>
      <w:r w:rsidR="005B2A0E">
        <w:t>8</w:t>
      </w:r>
      <w:r w:rsidR="001027DE">
        <w:t>/</w:t>
      </w:r>
      <w:r w:rsidR="00466DF2">
        <w:t>1</w:t>
      </w:r>
      <w:r w:rsidR="005B2A0E">
        <w:t>9</w:t>
      </w:r>
      <w:r w:rsidR="00D45D35">
        <w:t xml:space="preserve"> for use in 20</w:t>
      </w:r>
      <w:r w:rsidR="007918EE">
        <w:t>19</w:t>
      </w:r>
      <w:r w:rsidR="0097586C">
        <w:t>/</w:t>
      </w:r>
      <w:r w:rsidR="007918EE">
        <w:t>20</w:t>
      </w:r>
      <w:r w:rsidR="0055657D">
        <w:t>.</w:t>
      </w:r>
      <w:r w:rsidR="00C02F6B" w:rsidRPr="00C16A93">
        <w:rPr>
          <w:rFonts w:cs="Arial"/>
          <w:color w:val="FF0000"/>
        </w:rPr>
        <w:tab/>
      </w:r>
    </w:p>
    <w:p w:rsidR="005B4944" w:rsidRPr="00EF414A" w:rsidRDefault="00C02F6B" w:rsidP="00AA3B74">
      <w:pPr>
        <w:pStyle w:val="ListParagraph"/>
        <w:ind w:left="567"/>
        <w:jc w:val="both"/>
        <w:rPr>
          <w:rFonts w:cs="Arial"/>
        </w:rPr>
      </w:pPr>
      <w:r w:rsidRPr="00EF414A">
        <w:rPr>
          <w:rFonts w:cs="Arial"/>
          <w:color w:val="FF0000"/>
        </w:rPr>
        <w:tab/>
      </w:r>
      <w:r w:rsidRPr="00EF414A">
        <w:rPr>
          <w:rFonts w:cs="Arial"/>
        </w:rPr>
        <w:tab/>
      </w:r>
    </w:p>
    <w:p w:rsidR="00C543D6" w:rsidRPr="00485D96" w:rsidRDefault="00D21A7B" w:rsidP="00957F91">
      <w:pPr>
        <w:pStyle w:val="ListParagraph"/>
        <w:numPr>
          <w:ilvl w:val="0"/>
          <w:numId w:val="167"/>
        </w:numPr>
        <w:spacing w:after="240"/>
        <w:ind w:left="567" w:hanging="567"/>
        <w:jc w:val="both"/>
        <w:rPr>
          <w:color w:val="FF0000"/>
          <w:szCs w:val="24"/>
        </w:rPr>
      </w:pPr>
      <w:r w:rsidRPr="00EC744C">
        <w:rPr>
          <w:szCs w:val="24"/>
        </w:rPr>
        <w:t>T</w:t>
      </w:r>
      <w:r w:rsidR="00DF7D23" w:rsidRPr="00EC744C">
        <w:rPr>
          <w:szCs w:val="24"/>
        </w:rPr>
        <w:t>otal</w:t>
      </w:r>
      <w:r w:rsidRPr="00EC744C">
        <w:rPr>
          <w:szCs w:val="24"/>
        </w:rPr>
        <w:t xml:space="preserve"> </w:t>
      </w:r>
      <w:r w:rsidR="00DF7D23" w:rsidRPr="00EC744C">
        <w:rPr>
          <w:szCs w:val="24"/>
        </w:rPr>
        <w:t xml:space="preserve">spend on the </w:t>
      </w:r>
      <w:r w:rsidR="00D21B5F" w:rsidRPr="00EC744C">
        <w:rPr>
          <w:szCs w:val="24"/>
        </w:rPr>
        <w:t>C</w:t>
      </w:r>
      <w:r w:rsidR="00DF7D23" w:rsidRPr="00EC744C">
        <w:rPr>
          <w:szCs w:val="24"/>
        </w:rPr>
        <w:t xml:space="preserve">apital </w:t>
      </w:r>
      <w:r w:rsidR="00D21B5F" w:rsidRPr="00EC744C">
        <w:rPr>
          <w:szCs w:val="24"/>
        </w:rPr>
        <w:t>P</w:t>
      </w:r>
      <w:r w:rsidR="00DF7D23" w:rsidRPr="00EC744C">
        <w:rPr>
          <w:szCs w:val="24"/>
        </w:rPr>
        <w:t xml:space="preserve">rogramme for the year </w:t>
      </w:r>
      <w:r w:rsidR="00E12326" w:rsidRPr="00EC744C">
        <w:rPr>
          <w:szCs w:val="24"/>
        </w:rPr>
        <w:t>is</w:t>
      </w:r>
      <w:r w:rsidR="00DF7D23" w:rsidRPr="00EC744C">
        <w:rPr>
          <w:szCs w:val="24"/>
        </w:rPr>
        <w:t xml:space="preserve"> </w:t>
      </w:r>
      <w:r w:rsidR="00090997" w:rsidRPr="00EC744C">
        <w:rPr>
          <w:szCs w:val="24"/>
        </w:rPr>
        <w:t>£</w:t>
      </w:r>
      <w:r w:rsidR="005B2A0E" w:rsidRPr="00EC744C">
        <w:rPr>
          <w:szCs w:val="24"/>
        </w:rPr>
        <w:t>57.</w:t>
      </w:r>
      <w:r w:rsidR="00BC7C95" w:rsidRPr="00EC744C">
        <w:rPr>
          <w:szCs w:val="24"/>
        </w:rPr>
        <w:t>783</w:t>
      </w:r>
      <w:r w:rsidR="00090997" w:rsidRPr="00EC744C">
        <w:rPr>
          <w:szCs w:val="24"/>
        </w:rPr>
        <w:t xml:space="preserve">m </w:t>
      </w:r>
      <w:r w:rsidR="007B4AF8" w:rsidRPr="00EC744C">
        <w:rPr>
          <w:szCs w:val="24"/>
        </w:rPr>
        <w:t>against a budget of</w:t>
      </w:r>
      <w:r w:rsidR="00090997" w:rsidRPr="00EC744C">
        <w:rPr>
          <w:szCs w:val="24"/>
        </w:rPr>
        <w:t xml:space="preserve"> £</w:t>
      </w:r>
      <w:r w:rsidR="00F7632C" w:rsidRPr="00EC744C">
        <w:rPr>
          <w:szCs w:val="24"/>
        </w:rPr>
        <w:t>2</w:t>
      </w:r>
      <w:r w:rsidR="00BC7C95" w:rsidRPr="00EC744C">
        <w:rPr>
          <w:szCs w:val="24"/>
        </w:rPr>
        <w:t>17.565</w:t>
      </w:r>
      <w:r w:rsidR="00090997" w:rsidRPr="00EC744C">
        <w:rPr>
          <w:szCs w:val="24"/>
        </w:rPr>
        <w:t>m</w:t>
      </w:r>
      <w:r w:rsidR="007B4AF8" w:rsidRPr="00EC744C">
        <w:rPr>
          <w:szCs w:val="24"/>
        </w:rPr>
        <w:t>, giving a variance of</w:t>
      </w:r>
      <w:r w:rsidR="00090997" w:rsidRPr="00EC744C">
        <w:rPr>
          <w:szCs w:val="24"/>
        </w:rPr>
        <w:t xml:space="preserve"> £</w:t>
      </w:r>
      <w:r w:rsidR="00F7632C" w:rsidRPr="00EC744C">
        <w:rPr>
          <w:szCs w:val="24"/>
        </w:rPr>
        <w:t>1</w:t>
      </w:r>
      <w:r w:rsidR="00BC7C95" w:rsidRPr="00EC744C">
        <w:rPr>
          <w:szCs w:val="24"/>
        </w:rPr>
        <w:t>59.782</w:t>
      </w:r>
      <w:r w:rsidR="00090997" w:rsidRPr="00EC744C">
        <w:rPr>
          <w:szCs w:val="24"/>
        </w:rPr>
        <w:t>m</w:t>
      </w:r>
      <w:r w:rsidR="007B4AF8" w:rsidRPr="00EC744C">
        <w:rPr>
          <w:szCs w:val="24"/>
        </w:rPr>
        <w:t>.</w:t>
      </w:r>
      <w:r w:rsidR="00DF7D23" w:rsidRPr="00EC744C">
        <w:rPr>
          <w:szCs w:val="24"/>
        </w:rPr>
        <w:t xml:space="preserve"> </w:t>
      </w:r>
      <w:r w:rsidR="007D783C" w:rsidRPr="00EC744C">
        <w:rPr>
          <w:szCs w:val="24"/>
        </w:rPr>
        <w:t xml:space="preserve">The variance of </w:t>
      </w:r>
      <w:r w:rsidR="00090997" w:rsidRPr="00EC744C">
        <w:rPr>
          <w:szCs w:val="24"/>
        </w:rPr>
        <w:t>£</w:t>
      </w:r>
      <w:r w:rsidR="00BC7C95" w:rsidRPr="00EC744C">
        <w:rPr>
          <w:szCs w:val="24"/>
        </w:rPr>
        <w:t>159.782</w:t>
      </w:r>
      <w:r w:rsidR="005B2A0E" w:rsidRPr="00EC744C">
        <w:rPr>
          <w:szCs w:val="24"/>
        </w:rPr>
        <w:t>m</w:t>
      </w:r>
      <w:r w:rsidR="00090997" w:rsidRPr="00EC744C">
        <w:rPr>
          <w:szCs w:val="24"/>
        </w:rPr>
        <w:t xml:space="preserve"> </w:t>
      </w:r>
      <w:r w:rsidR="007D783C" w:rsidRPr="00EC744C">
        <w:rPr>
          <w:szCs w:val="24"/>
        </w:rPr>
        <w:t xml:space="preserve">is made up of </w:t>
      </w:r>
      <w:r w:rsidR="007B4AF8" w:rsidRPr="00EC744C">
        <w:rPr>
          <w:szCs w:val="24"/>
        </w:rPr>
        <w:t xml:space="preserve">total </w:t>
      </w:r>
      <w:r w:rsidR="00DD0C4A" w:rsidRPr="00EC744C">
        <w:rPr>
          <w:szCs w:val="24"/>
        </w:rPr>
        <w:t xml:space="preserve">slippage of </w:t>
      </w:r>
      <w:r w:rsidR="00090997" w:rsidRPr="00EC744C">
        <w:rPr>
          <w:szCs w:val="24"/>
        </w:rPr>
        <w:t>£</w:t>
      </w:r>
      <w:r w:rsidR="005B2A0E" w:rsidRPr="00EC744C">
        <w:rPr>
          <w:szCs w:val="24"/>
        </w:rPr>
        <w:t>9</w:t>
      </w:r>
      <w:r w:rsidR="0053204B" w:rsidRPr="00EC744C">
        <w:rPr>
          <w:szCs w:val="24"/>
        </w:rPr>
        <w:t>3.616</w:t>
      </w:r>
      <w:r w:rsidR="00090997" w:rsidRPr="00EC744C">
        <w:rPr>
          <w:szCs w:val="24"/>
        </w:rPr>
        <w:t xml:space="preserve">m </w:t>
      </w:r>
      <w:r w:rsidR="007D783C" w:rsidRPr="00EC744C">
        <w:rPr>
          <w:szCs w:val="24"/>
        </w:rPr>
        <w:t>which will be carried forward into 20</w:t>
      </w:r>
      <w:r w:rsidR="004F1EEF" w:rsidRPr="00EC744C">
        <w:rPr>
          <w:szCs w:val="24"/>
        </w:rPr>
        <w:t>1</w:t>
      </w:r>
      <w:r w:rsidR="00510B89" w:rsidRPr="00EC744C">
        <w:rPr>
          <w:szCs w:val="24"/>
        </w:rPr>
        <w:t>9</w:t>
      </w:r>
      <w:r w:rsidR="00BE6255" w:rsidRPr="00EC744C">
        <w:rPr>
          <w:szCs w:val="24"/>
        </w:rPr>
        <w:t>/</w:t>
      </w:r>
      <w:r w:rsidR="00510B89" w:rsidRPr="00EC744C">
        <w:rPr>
          <w:szCs w:val="24"/>
        </w:rPr>
        <w:t>20</w:t>
      </w:r>
      <w:r w:rsidR="007D783C" w:rsidRPr="00EC744C">
        <w:rPr>
          <w:szCs w:val="24"/>
        </w:rPr>
        <w:t xml:space="preserve"> </w:t>
      </w:r>
      <w:r w:rsidR="007B4AF8" w:rsidRPr="00EC744C">
        <w:rPr>
          <w:szCs w:val="24"/>
        </w:rPr>
        <w:t xml:space="preserve">and underspends of </w:t>
      </w:r>
      <w:r w:rsidR="00090997" w:rsidRPr="00EC744C">
        <w:rPr>
          <w:szCs w:val="24"/>
        </w:rPr>
        <w:t>£</w:t>
      </w:r>
      <w:r w:rsidR="0053204B" w:rsidRPr="00EC744C">
        <w:rPr>
          <w:szCs w:val="24"/>
        </w:rPr>
        <w:t>6</w:t>
      </w:r>
      <w:r w:rsidR="001940FF">
        <w:rPr>
          <w:szCs w:val="24"/>
        </w:rPr>
        <w:t>6</w:t>
      </w:r>
      <w:r w:rsidR="00BC7C95" w:rsidRPr="00EC744C">
        <w:rPr>
          <w:szCs w:val="24"/>
        </w:rPr>
        <w:t>.166</w:t>
      </w:r>
      <w:r w:rsidR="00090997" w:rsidRPr="00EC744C">
        <w:rPr>
          <w:szCs w:val="24"/>
        </w:rPr>
        <w:t>m</w:t>
      </w:r>
      <w:r w:rsidR="007614B9" w:rsidRPr="00EC744C">
        <w:rPr>
          <w:szCs w:val="24"/>
        </w:rPr>
        <w:t>. Of this under</w:t>
      </w:r>
      <w:r w:rsidR="000A4667" w:rsidRPr="00EC744C">
        <w:rPr>
          <w:szCs w:val="24"/>
        </w:rPr>
        <w:t xml:space="preserve"> spend;</w:t>
      </w:r>
      <w:r w:rsidR="004879BF" w:rsidRPr="00EC744C">
        <w:rPr>
          <w:szCs w:val="24"/>
        </w:rPr>
        <w:t xml:space="preserve"> £1m will be set aside </w:t>
      </w:r>
      <w:r w:rsidR="00CC0265" w:rsidRPr="00EC744C">
        <w:rPr>
          <w:szCs w:val="24"/>
        </w:rPr>
        <w:t>as</w:t>
      </w:r>
      <w:r w:rsidR="007614B9" w:rsidRPr="00EC744C">
        <w:rPr>
          <w:szCs w:val="24"/>
        </w:rPr>
        <w:t xml:space="preserve"> </w:t>
      </w:r>
      <w:r w:rsidR="00D25C84" w:rsidRPr="00EC744C">
        <w:rPr>
          <w:szCs w:val="24"/>
        </w:rPr>
        <w:t>Council W</w:t>
      </w:r>
      <w:r w:rsidR="007614B9" w:rsidRPr="00EC744C">
        <w:rPr>
          <w:szCs w:val="24"/>
        </w:rPr>
        <w:t>ide Capital Budget</w:t>
      </w:r>
      <w:r w:rsidR="004879BF" w:rsidRPr="00EC744C">
        <w:rPr>
          <w:szCs w:val="24"/>
        </w:rPr>
        <w:t xml:space="preserve"> in 2019/20</w:t>
      </w:r>
      <w:r w:rsidR="007614B9" w:rsidRPr="00EC744C">
        <w:rPr>
          <w:szCs w:val="24"/>
        </w:rPr>
        <w:t xml:space="preserve"> </w:t>
      </w:r>
      <w:r w:rsidR="008D368A" w:rsidRPr="00EC744C">
        <w:rPr>
          <w:szCs w:val="24"/>
        </w:rPr>
        <w:t>and</w:t>
      </w:r>
      <w:r w:rsidR="00BC7C95" w:rsidRPr="00EC744C">
        <w:rPr>
          <w:szCs w:val="24"/>
        </w:rPr>
        <w:t xml:space="preserve"> the balance of £65.166</w:t>
      </w:r>
      <w:r w:rsidR="007614B9" w:rsidRPr="00EC744C">
        <w:rPr>
          <w:szCs w:val="24"/>
        </w:rPr>
        <w:t>m</w:t>
      </w:r>
      <w:r w:rsidR="008D368A" w:rsidRPr="00EC744C">
        <w:rPr>
          <w:szCs w:val="24"/>
        </w:rPr>
        <w:t xml:space="preserve"> will be removed from the programme</w:t>
      </w:r>
      <w:r w:rsidR="007B4AF8" w:rsidRPr="00EC744C">
        <w:rPr>
          <w:szCs w:val="24"/>
        </w:rPr>
        <w:t>.</w:t>
      </w:r>
      <w:r w:rsidR="00FB11AF" w:rsidRPr="00EC744C">
        <w:rPr>
          <w:color w:val="7030A0"/>
          <w:szCs w:val="24"/>
        </w:rPr>
        <w:t xml:space="preserve"> </w:t>
      </w:r>
    </w:p>
    <w:p w:rsidR="00485D96" w:rsidRPr="00EC744C" w:rsidRDefault="00485D96" w:rsidP="00485D96">
      <w:pPr>
        <w:pStyle w:val="ListParagraph"/>
        <w:spacing w:after="240"/>
        <w:ind w:left="567"/>
        <w:jc w:val="both"/>
        <w:rPr>
          <w:color w:val="FF0000"/>
          <w:szCs w:val="24"/>
        </w:rPr>
      </w:pPr>
    </w:p>
    <w:p w:rsidR="007B2F9A" w:rsidRPr="006F766E" w:rsidRDefault="007B2F9A">
      <w:pPr>
        <w:pStyle w:val="ListParagraph"/>
        <w:spacing w:after="240"/>
        <w:ind w:left="357"/>
        <w:jc w:val="both"/>
        <w:rPr>
          <w:color w:val="FF0000"/>
          <w:szCs w:val="24"/>
        </w:rPr>
      </w:pPr>
    </w:p>
    <w:p w:rsidR="00DD7468" w:rsidRDefault="00C16A93" w:rsidP="00957F91">
      <w:pPr>
        <w:pStyle w:val="ListParagraph"/>
        <w:numPr>
          <w:ilvl w:val="0"/>
          <w:numId w:val="103"/>
        </w:numPr>
        <w:ind w:left="567" w:hanging="567"/>
        <w:jc w:val="both"/>
        <w:rPr>
          <w:b/>
          <w:szCs w:val="24"/>
        </w:rPr>
      </w:pPr>
      <w:r>
        <w:rPr>
          <w:b/>
          <w:szCs w:val="24"/>
        </w:rPr>
        <w:lastRenderedPageBreak/>
        <w:t xml:space="preserve">  </w:t>
      </w:r>
      <w:r w:rsidR="00F92295" w:rsidRPr="00AA3B74">
        <w:rPr>
          <w:b/>
          <w:szCs w:val="24"/>
        </w:rPr>
        <w:t>REVENUE OUTTURN</w:t>
      </w:r>
    </w:p>
    <w:p w:rsidR="00DD7468" w:rsidRDefault="00DD7468">
      <w:pPr>
        <w:jc w:val="both"/>
        <w:rPr>
          <w:b/>
          <w:szCs w:val="24"/>
        </w:rPr>
      </w:pPr>
    </w:p>
    <w:p w:rsidR="007E5111" w:rsidRDefault="00C532D9" w:rsidP="00957F91">
      <w:pPr>
        <w:pStyle w:val="ListParagraph"/>
        <w:jc w:val="both"/>
        <w:rPr>
          <w:rFonts w:cs="Arial"/>
        </w:rPr>
      </w:pPr>
      <w:r w:rsidRPr="00C532D9">
        <w:rPr>
          <w:rFonts w:cs="Arial"/>
        </w:rPr>
        <w:t xml:space="preserve">The Council’s net position after </w:t>
      </w:r>
      <w:r w:rsidR="00D0099C">
        <w:rPr>
          <w:rFonts w:cs="Arial"/>
        </w:rPr>
        <w:t xml:space="preserve">a net Directorate </w:t>
      </w:r>
      <w:r w:rsidRPr="00C532D9">
        <w:rPr>
          <w:rFonts w:cs="Arial"/>
        </w:rPr>
        <w:t>overspend of £3.429m and Corporate adjustments is</w:t>
      </w:r>
      <w:r w:rsidR="00D0099C">
        <w:rPr>
          <w:rFonts w:cs="Arial"/>
        </w:rPr>
        <w:t xml:space="preserve"> an</w:t>
      </w:r>
      <w:r w:rsidRPr="00C532D9">
        <w:rPr>
          <w:rFonts w:cs="Arial"/>
        </w:rPr>
        <w:t xml:space="preserve"> (£8.603m)</w:t>
      </w:r>
      <w:r w:rsidR="00D0099C">
        <w:rPr>
          <w:rFonts w:cs="Arial"/>
        </w:rPr>
        <w:t xml:space="preserve"> underspend</w:t>
      </w:r>
      <w:r w:rsidRPr="00C532D9">
        <w:rPr>
          <w:rFonts w:cs="Arial"/>
        </w:rPr>
        <w:t>. Of this</w:t>
      </w:r>
      <w:r w:rsidR="00D0099C">
        <w:rPr>
          <w:rFonts w:cs="Arial"/>
        </w:rPr>
        <w:t xml:space="preserve">, </w:t>
      </w:r>
      <w:r w:rsidRPr="00C532D9">
        <w:rPr>
          <w:rFonts w:cs="Arial"/>
        </w:rPr>
        <w:t xml:space="preserve">(£4.279m) relates to the 2018/19 Business Rate Pool income and additional sec 31 grant </w:t>
      </w:r>
      <w:r w:rsidR="00D0099C">
        <w:rPr>
          <w:rFonts w:cs="Arial"/>
        </w:rPr>
        <w:t xml:space="preserve">which </w:t>
      </w:r>
      <w:r w:rsidRPr="00C532D9">
        <w:rPr>
          <w:rFonts w:cs="Arial"/>
        </w:rPr>
        <w:t>is built into the 2019/20 budget</w:t>
      </w:r>
      <w:r w:rsidR="00D0099C">
        <w:rPr>
          <w:rFonts w:cs="Arial"/>
        </w:rPr>
        <w:t xml:space="preserve">. The balance of </w:t>
      </w:r>
      <w:r w:rsidRPr="00C532D9">
        <w:rPr>
          <w:rFonts w:cs="Arial"/>
        </w:rPr>
        <w:t>(</w:t>
      </w:r>
      <w:r w:rsidR="00D0099C">
        <w:rPr>
          <w:rFonts w:cs="Arial"/>
        </w:rPr>
        <w:t>£</w:t>
      </w:r>
      <w:r w:rsidRPr="00C532D9">
        <w:rPr>
          <w:rFonts w:cs="Arial"/>
        </w:rPr>
        <w:t>1.214m) is additional income</w:t>
      </w:r>
      <w:r w:rsidR="00D0099C">
        <w:rPr>
          <w:rFonts w:cs="Arial"/>
        </w:rPr>
        <w:t xml:space="preserve">, received at the </w:t>
      </w:r>
      <w:r w:rsidR="00DC3A2B">
        <w:rPr>
          <w:rFonts w:cs="Arial"/>
        </w:rPr>
        <w:t>end of the financial years</w:t>
      </w:r>
      <w:r w:rsidRPr="00C532D9">
        <w:rPr>
          <w:rFonts w:cs="Arial"/>
        </w:rPr>
        <w:t xml:space="preserve"> from the </w:t>
      </w:r>
      <w:r w:rsidR="00DC3A2B">
        <w:rPr>
          <w:rFonts w:cs="Arial"/>
        </w:rPr>
        <w:t xml:space="preserve">Business Rate Pool as a result of additional </w:t>
      </w:r>
      <w:r w:rsidR="00C16A93">
        <w:rPr>
          <w:rFonts w:cs="Arial"/>
        </w:rPr>
        <w:t xml:space="preserve">business </w:t>
      </w:r>
      <w:r w:rsidR="00DC3A2B">
        <w:rPr>
          <w:rFonts w:cs="Arial"/>
        </w:rPr>
        <w:t xml:space="preserve">rate growth across London over and above that estimated. </w:t>
      </w:r>
      <w:r w:rsidRPr="00C532D9">
        <w:rPr>
          <w:rFonts w:cs="Arial"/>
        </w:rPr>
        <w:t xml:space="preserve"> This leaves a net underspend of (£3.110m)</w:t>
      </w:r>
      <w:r w:rsidR="00DC3A2B">
        <w:rPr>
          <w:rFonts w:cs="Arial"/>
        </w:rPr>
        <w:t xml:space="preserve">. The (£2.2m) planned underspend is transferred into the Business Planning Reserve and will be applied to support the 2019/20 budget. The additional underspend of </w:t>
      </w:r>
      <w:r w:rsidR="00366F5A">
        <w:rPr>
          <w:rFonts w:cs="Arial"/>
        </w:rPr>
        <w:t>(</w:t>
      </w:r>
      <w:r w:rsidR="00DC3A2B">
        <w:rPr>
          <w:rFonts w:cs="Arial"/>
        </w:rPr>
        <w:t>£</w:t>
      </w:r>
      <w:r w:rsidR="00C16A93">
        <w:rPr>
          <w:rFonts w:cs="Arial"/>
        </w:rPr>
        <w:t>0.</w:t>
      </w:r>
      <w:r w:rsidR="00DC3A2B">
        <w:rPr>
          <w:rFonts w:cs="Arial"/>
        </w:rPr>
        <w:t>910</w:t>
      </w:r>
      <w:r w:rsidR="00C16A93">
        <w:rPr>
          <w:rFonts w:cs="Arial"/>
        </w:rPr>
        <w:t>m</w:t>
      </w:r>
      <w:r w:rsidR="00366F5A">
        <w:rPr>
          <w:rFonts w:cs="Arial"/>
        </w:rPr>
        <w:t>)</w:t>
      </w:r>
      <w:r w:rsidR="00DC3A2B">
        <w:rPr>
          <w:rFonts w:cs="Arial"/>
        </w:rPr>
        <w:t xml:space="preserve"> is transferred into the Commercialisation Reserve.  </w:t>
      </w:r>
    </w:p>
    <w:p w:rsidR="00C16A93" w:rsidRDefault="00DC3A2B" w:rsidP="00957F91">
      <w:pPr>
        <w:pStyle w:val="ListParagraph"/>
        <w:jc w:val="both"/>
        <w:rPr>
          <w:rFonts w:cs="Arial"/>
        </w:rPr>
      </w:pPr>
      <w:r>
        <w:rPr>
          <w:rFonts w:cs="Arial"/>
        </w:rPr>
        <w:t xml:space="preserve"> </w:t>
      </w:r>
    </w:p>
    <w:p w:rsidR="00546C58" w:rsidRDefault="007E5111" w:rsidP="00957F91">
      <w:pPr>
        <w:rPr>
          <w:rFonts w:cs="Arial"/>
        </w:rPr>
      </w:pPr>
      <w:r w:rsidRPr="00957F91">
        <w:rPr>
          <w:rFonts w:cs="Arial"/>
        </w:rPr>
        <w:t>2.1</w:t>
      </w:r>
      <w:r w:rsidR="00C532D9" w:rsidRPr="007E5111">
        <w:rPr>
          <w:rFonts w:cs="Arial"/>
        </w:rPr>
        <w:tab/>
        <w:t>Table 1 below sets out the Summary Revenue Outturn position</w:t>
      </w:r>
      <w:r w:rsidR="00C532D9" w:rsidRPr="007E5111" w:rsidDel="00C532D9">
        <w:rPr>
          <w:rFonts w:cs="Arial"/>
        </w:rPr>
        <w:t xml:space="preserve"> </w:t>
      </w:r>
    </w:p>
    <w:p w:rsidR="00546C58" w:rsidRDefault="00546C58" w:rsidP="00957F91">
      <w:pPr>
        <w:rPr>
          <w:rFonts w:cs="Arial"/>
        </w:rPr>
      </w:pPr>
    </w:p>
    <w:p w:rsidR="002C483C" w:rsidRPr="00957F91" w:rsidRDefault="00C16A93" w:rsidP="00AA3B74">
      <w:pPr>
        <w:jc w:val="both"/>
        <w:rPr>
          <w:rFonts w:cs="Arial"/>
          <w:b/>
          <w:u w:val="single"/>
        </w:rPr>
      </w:pPr>
      <w:r w:rsidRPr="00957F91">
        <w:rPr>
          <w:rFonts w:cs="Arial"/>
          <w:b/>
        </w:rPr>
        <w:tab/>
      </w:r>
      <w:r>
        <w:rPr>
          <w:rFonts w:cs="Arial"/>
          <w:b/>
        </w:rPr>
        <w:t xml:space="preserve">  </w:t>
      </w:r>
      <w:r w:rsidR="00BE6255" w:rsidRPr="00C16A93">
        <w:rPr>
          <w:rFonts w:cs="Arial"/>
          <w:b/>
          <w:u w:val="single"/>
        </w:rPr>
        <w:t>T</w:t>
      </w:r>
      <w:r w:rsidR="00696FC4" w:rsidRPr="00C16A93">
        <w:rPr>
          <w:rFonts w:cs="Arial"/>
          <w:b/>
          <w:u w:val="single"/>
        </w:rPr>
        <w:t>able 1</w:t>
      </w:r>
      <w:r w:rsidR="004721C0" w:rsidRPr="00C16A93">
        <w:rPr>
          <w:rFonts w:cs="Arial"/>
          <w:b/>
          <w:u w:val="single"/>
        </w:rPr>
        <w:t>:</w:t>
      </w:r>
      <w:r w:rsidR="00696FC4" w:rsidRPr="00C16A93">
        <w:rPr>
          <w:rFonts w:cs="Arial"/>
          <w:b/>
          <w:u w:val="single"/>
        </w:rPr>
        <w:t xml:space="preserve"> </w:t>
      </w:r>
      <w:r w:rsidR="00F0007A" w:rsidRPr="00C16A93">
        <w:rPr>
          <w:rFonts w:cs="Arial"/>
          <w:b/>
          <w:u w:val="single"/>
        </w:rPr>
        <w:t>Revenue Outturn 20</w:t>
      </w:r>
      <w:r w:rsidR="00E54B56" w:rsidRPr="00C16A93">
        <w:rPr>
          <w:rFonts w:cs="Arial"/>
          <w:b/>
          <w:u w:val="single"/>
        </w:rPr>
        <w:t>1</w:t>
      </w:r>
      <w:r w:rsidR="000F40E5" w:rsidRPr="00C16A93">
        <w:rPr>
          <w:rFonts w:cs="Arial"/>
          <w:b/>
          <w:u w:val="single"/>
        </w:rPr>
        <w:t>8</w:t>
      </w:r>
      <w:r w:rsidR="00A3368C" w:rsidRPr="00C16A93">
        <w:rPr>
          <w:rFonts w:cs="Arial"/>
          <w:b/>
          <w:u w:val="single"/>
        </w:rPr>
        <w:t>/</w:t>
      </w:r>
      <w:r w:rsidR="009A14CB" w:rsidRPr="00C16A93">
        <w:rPr>
          <w:rFonts w:cs="Arial"/>
          <w:b/>
          <w:u w:val="single"/>
        </w:rPr>
        <w:t>1</w:t>
      </w:r>
      <w:r w:rsidR="000F40E5" w:rsidRPr="00C16A93">
        <w:rPr>
          <w:rFonts w:cs="Arial"/>
          <w:b/>
          <w:u w:val="single"/>
        </w:rPr>
        <w:t>9</w:t>
      </w:r>
      <w:r w:rsidR="00F0007A" w:rsidRPr="00C16A93">
        <w:rPr>
          <w:rFonts w:cs="Arial"/>
          <w:b/>
          <w:u w:val="single"/>
        </w:rPr>
        <w:t xml:space="preserve"> Summary</w:t>
      </w:r>
    </w:p>
    <w:p w:rsidR="00EC744C" w:rsidRDefault="000D31B5" w:rsidP="00957F91">
      <w:pPr>
        <w:ind w:left="851"/>
        <w:jc w:val="both"/>
        <w:rPr>
          <w:rFonts w:cs="Arial"/>
        </w:rPr>
      </w:pPr>
      <w:r w:rsidRPr="000D31B5">
        <w:rPr>
          <w:noProof/>
          <w:lang w:eastAsia="en-GB"/>
        </w:rPr>
        <w:drawing>
          <wp:inline distT="0" distB="0" distL="0" distR="0" wp14:anchorId="39C5EDC9" wp14:editId="794005B8">
            <wp:extent cx="5450400" cy="63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2212" cy="6330904"/>
                    </a:xfrm>
                    <a:prstGeom prst="rect">
                      <a:avLst/>
                    </a:prstGeom>
                    <a:noFill/>
                    <a:ln>
                      <a:noFill/>
                    </a:ln>
                  </pic:spPr>
                </pic:pic>
              </a:graphicData>
            </a:graphic>
          </wp:inline>
        </w:drawing>
      </w:r>
    </w:p>
    <w:p w:rsidR="001940FF" w:rsidRDefault="001940FF" w:rsidP="00957F91">
      <w:pPr>
        <w:ind w:left="851"/>
        <w:jc w:val="both"/>
        <w:rPr>
          <w:rFonts w:cs="Arial"/>
        </w:rPr>
      </w:pPr>
    </w:p>
    <w:p w:rsidR="007E52B6" w:rsidRPr="00EC744C" w:rsidRDefault="00C16A93">
      <w:pPr>
        <w:jc w:val="both"/>
        <w:rPr>
          <w:rFonts w:cs="Arial"/>
          <w:b/>
        </w:rPr>
      </w:pPr>
      <w:r>
        <w:rPr>
          <w:rFonts w:cs="Arial"/>
        </w:rPr>
        <w:lastRenderedPageBreak/>
        <w:tab/>
        <w:t xml:space="preserve"> </w:t>
      </w:r>
      <w:r w:rsidR="0046757C" w:rsidRPr="00EC744C">
        <w:rPr>
          <w:rFonts w:cs="Arial"/>
          <w:b/>
        </w:rPr>
        <w:t xml:space="preserve">Directorates’ </w:t>
      </w:r>
      <w:r w:rsidR="00991001" w:rsidRPr="00EC744C">
        <w:rPr>
          <w:rFonts w:cs="Arial"/>
          <w:b/>
        </w:rPr>
        <w:t>Outturn</w:t>
      </w:r>
    </w:p>
    <w:p w:rsidR="00B54A4A" w:rsidRDefault="00B54A4A">
      <w:pPr>
        <w:jc w:val="both"/>
        <w:rPr>
          <w:rFonts w:cs="Arial"/>
          <w:b/>
        </w:rPr>
      </w:pPr>
    </w:p>
    <w:p w:rsidR="00131A34" w:rsidRDefault="00B23BC2" w:rsidP="00957F91">
      <w:pPr>
        <w:ind w:left="709" w:hanging="709"/>
        <w:jc w:val="both"/>
        <w:rPr>
          <w:b/>
        </w:rPr>
      </w:pPr>
      <w:r>
        <w:rPr>
          <w:rFonts w:cs="Arial"/>
        </w:rPr>
        <w:t>2.2</w:t>
      </w:r>
      <w:r>
        <w:rPr>
          <w:rFonts w:cs="Arial"/>
        </w:rPr>
        <w:tab/>
      </w:r>
      <w:r w:rsidR="002B6778" w:rsidRPr="00B54A4A">
        <w:rPr>
          <w:rFonts w:cs="Arial"/>
        </w:rPr>
        <w:t xml:space="preserve">The </w:t>
      </w:r>
      <w:r w:rsidR="0084452D" w:rsidRPr="00B54A4A">
        <w:rPr>
          <w:rFonts w:cs="Arial"/>
        </w:rPr>
        <w:t xml:space="preserve">outturn for the Directorates is </w:t>
      </w:r>
      <w:r w:rsidR="003C6D61" w:rsidRPr="00B54A4A">
        <w:rPr>
          <w:rFonts w:cs="Arial"/>
        </w:rPr>
        <w:t>a</w:t>
      </w:r>
      <w:r w:rsidR="00F5400A" w:rsidRPr="00B54A4A">
        <w:rPr>
          <w:rFonts w:cs="Arial"/>
        </w:rPr>
        <w:t xml:space="preserve"> net</w:t>
      </w:r>
      <w:r w:rsidR="003C6D61" w:rsidRPr="00B54A4A">
        <w:rPr>
          <w:rFonts w:cs="Arial"/>
        </w:rPr>
        <w:t xml:space="preserve"> </w:t>
      </w:r>
      <w:r w:rsidR="002220B0">
        <w:rPr>
          <w:rFonts w:cs="Arial"/>
        </w:rPr>
        <w:t>over</w:t>
      </w:r>
      <w:r w:rsidR="00C11F21" w:rsidRPr="00B54A4A">
        <w:rPr>
          <w:rFonts w:cs="Arial"/>
        </w:rPr>
        <w:t xml:space="preserve"> </w:t>
      </w:r>
      <w:r w:rsidR="003C6D61" w:rsidRPr="00B54A4A">
        <w:rPr>
          <w:rFonts w:cs="Arial"/>
        </w:rPr>
        <w:t xml:space="preserve">spend of </w:t>
      </w:r>
      <w:r w:rsidR="002220B0">
        <w:rPr>
          <w:rFonts w:cs="Arial"/>
        </w:rPr>
        <w:t>£</w:t>
      </w:r>
      <w:r w:rsidR="00B13F7F">
        <w:rPr>
          <w:rFonts w:cs="Arial"/>
        </w:rPr>
        <w:t>3.4</w:t>
      </w:r>
      <w:r w:rsidR="00BB1E2E">
        <w:rPr>
          <w:rFonts w:cs="Arial"/>
        </w:rPr>
        <w:t>29</w:t>
      </w:r>
      <w:r w:rsidR="00F7632C">
        <w:rPr>
          <w:rFonts w:cs="Arial"/>
        </w:rPr>
        <w:t>m</w:t>
      </w:r>
      <w:r w:rsidR="0046663B" w:rsidRPr="00B54A4A">
        <w:rPr>
          <w:rFonts w:cs="Arial"/>
        </w:rPr>
        <w:t xml:space="preserve"> after taking</w:t>
      </w:r>
      <w:r w:rsidR="008A5B16" w:rsidRPr="00B54A4A">
        <w:rPr>
          <w:rFonts w:cs="Arial"/>
        </w:rPr>
        <w:t xml:space="preserve"> into consideration carry forward</w:t>
      </w:r>
      <w:r w:rsidR="00DC3A2B">
        <w:rPr>
          <w:rFonts w:cs="Arial"/>
        </w:rPr>
        <w:t>s</w:t>
      </w:r>
      <w:r w:rsidR="008A5B16" w:rsidRPr="00B54A4A">
        <w:rPr>
          <w:rFonts w:cs="Arial"/>
        </w:rPr>
        <w:t xml:space="preserve"> of </w:t>
      </w:r>
      <w:r w:rsidR="002220B0">
        <w:rPr>
          <w:rFonts w:cs="Arial"/>
        </w:rPr>
        <w:t>£1.5</w:t>
      </w:r>
      <w:r w:rsidR="00B13F7F">
        <w:rPr>
          <w:rFonts w:cs="Arial"/>
        </w:rPr>
        <w:t>46</w:t>
      </w:r>
      <w:r w:rsidR="00A3368C">
        <w:rPr>
          <w:rFonts w:cs="Arial"/>
        </w:rPr>
        <w:t>m</w:t>
      </w:r>
      <w:r w:rsidR="008A5B16" w:rsidRPr="00B54A4A">
        <w:rPr>
          <w:rFonts w:cs="Arial"/>
        </w:rPr>
        <w:t>.</w:t>
      </w:r>
      <w:r w:rsidR="00CE5E14" w:rsidRPr="00B54A4A">
        <w:rPr>
          <w:rFonts w:cs="Arial"/>
        </w:rPr>
        <w:t xml:space="preserve"> </w:t>
      </w:r>
      <w:r w:rsidR="005846D7" w:rsidRPr="00B54A4A">
        <w:rPr>
          <w:rFonts w:cs="Arial"/>
        </w:rPr>
        <w:t>The position for each directorate is</w:t>
      </w:r>
      <w:r w:rsidR="00DC3A2B">
        <w:rPr>
          <w:rFonts w:cs="Arial"/>
        </w:rPr>
        <w:t xml:space="preserve"> </w:t>
      </w:r>
      <w:r w:rsidR="00EA77B6">
        <w:rPr>
          <w:rFonts w:cs="Arial"/>
        </w:rPr>
        <w:t>summarised as follows</w:t>
      </w:r>
      <w:r w:rsidR="00EA77B6">
        <w:rPr>
          <w:b/>
        </w:rPr>
        <w:t>:</w:t>
      </w:r>
    </w:p>
    <w:p w:rsidR="00EA77B6" w:rsidRDefault="00EA77B6" w:rsidP="00957F91">
      <w:pPr>
        <w:ind w:left="709" w:hanging="709"/>
        <w:jc w:val="both"/>
        <w:rPr>
          <w:b/>
        </w:rPr>
      </w:pPr>
    </w:p>
    <w:p w:rsidR="00B23BC2" w:rsidRDefault="00B23BC2">
      <w:pPr>
        <w:pStyle w:val="ListParagraph"/>
        <w:spacing w:after="240"/>
        <w:ind w:left="374" w:right="306" w:hanging="374"/>
        <w:jc w:val="both"/>
        <w:rPr>
          <w:rFonts w:cs="Arial"/>
          <w:b/>
        </w:rPr>
      </w:pPr>
    </w:p>
    <w:p w:rsidR="00120AB1" w:rsidRDefault="00120AB1" w:rsidP="00957F91">
      <w:pPr>
        <w:pStyle w:val="ListParagraph"/>
        <w:spacing w:after="240"/>
        <w:ind w:left="374" w:right="306" w:firstLine="335"/>
        <w:jc w:val="both"/>
        <w:rPr>
          <w:rFonts w:cs="Arial"/>
          <w:b/>
        </w:rPr>
      </w:pPr>
      <w:r w:rsidRPr="00C14341">
        <w:rPr>
          <w:rFonts w:cs="Arial"/>
          <w:b/>
        </w:rPr>
        <w:t>Resources</w:t>
      </w:r>
    </w:p>
    <w:p w:rsidR="00B23BC2" w:rsidRDefault="00B23BC2">
      <w:pPr>
        <w:pStyle w:val="ListParagraph"/>
        <w:spacing w:after="240"/>
        <w:ind w:left="374" w:right="306" w:hanging="374"/>
        <w:jc w:val="both"/>
        <w:rPr>
          <w:rFonts w:cs="Arial"/>
          <w:b/>
        </w:rPr>
      </w:pPr>
    </w:p>
    <w:p w:rsidR="009870D0" w:rsidRPr="000F0C4F" w:rsidRDefault="009870D0" w:rsidP="00957F91">
      <w:pPr>
        <w:pStyle w:val="ListParagraph"/>
        <w:numPr>
          <w:ilvl w:val="0"/>
          <w:numId w:val="100"/>
        </w:numPr>
        <w:spacing w:after="240"/>
        <w:ind w:left="709" w:right="306" w:hanging="709"/>
        <w:jc w:val="both"/>
        <w:rPr>
          <w:rFonts w:cs="Arial"/>
        </w:rPr>
      </w:pPr>
      <w:r w:rsidRPr="000F0C4F">
        <w:rPr>
          <w:rFonts w:cs="Arial"/>
        </w:rPr>
        <w:t xml:space="preserve">The outturn position for Resources is an </w:t>
      </w:r>
      <w:r w:rsidR="008A5B16">
        <w:rPr>
          <w:rFonts w:cs="Arial"/>
        </w:rPr>
        <w:t>under spend of (£</w:t>
      </w:r>
      <w:r w:rsidR="00746E89">
        <w:rPr>
          <w:rFonts w:cs="Arial"/>
        </w:rPr>
        <w:t>0.</w:t>
      </w:r>
      <w:r w:rsidR="00B13F7F">
        <w:rPr>
          <w:rFonts w:cs="Arial"/>
        </w:rPr>
        <w:t>201</w:t>
      </w:r>
      <w:r w:rsidR="00746E89">
        <w:rPr>
          <w:rFonts w:cs="Arial"/>
        </w:rPr>
        <w:t>m</w:t>
      </w:r>
      <w:r w:rsidR="008A5B16">
        <w:rPr>
          <w:rFonts w:cs="Arial"/>
        </w:rPr>
        <w:t>)</w:t>
      </w:r>
      <w:r w:rsidR="00495A70">
        <w:rPr>
          <w:rFonts w:cs="Arial"/>
        </w:rPr>
        <w:t xml:space="preserve"> after allowing</w:t>
      </w:r>
      <w:r w:rsidR="00C44853">
        <w:rPr>
          <w:rFonts w:cs="Arial"/>
        </w:rPr>
        <w:t xml:space="preserve"> for </w:t>
      </w:r>
      <w:r w:rsidR="00495A70">
        <w:rPr>
          <w:rFonts w:cs="Arial"/>
        </w:rPr>
        <w:t>a carry forward of £</w:t>
      </w:r>
      <w:r w:rsidR="002220B0">
        <w:rPr>
          <w:rFonts w:cs="Arial"/>
        </w:rPr>
        <w:t>1.0</w:t>
      </w:r>
      <w:r w:rsidR="00B13F7F">
        <w:rPr>
          <w:rFonts w:cs="Arial"/>
        </w:rPr>
        <w:t>80</w:t>
      </w:r>
      <w:r w:rsidR="00BF338E">
        <w:rPr>
          <w:rFonts w:cs="Arial"/>
        </w:rPr>
        <w:t>m</w:t>
      </w:r>
      <w:r w:rsidR="00495A70">
        <w:rPr>
          <w:rFonts w:cs="Arial"/>
        </w:rPr>
        <w:t xml:space="preserve">. </w:t>
      </w:r>
      <w:r w:rsidRPr="000F0C4F">
        <w:rPr>
          <w:rFonts w:cs="Arial"/>
        </w:rPr>
        <w:t xml:space="preserve">The key reasons </w:t>
      </w:r>
      <w:r w:rsidR="00495A70">
        <w:rPr>
          <w:rFonts w:cs="Arial"/>
        </w:rPr>
        <w:t xml:space="preserve">for the under spend </w:t>
      </w:r>
      <w:r w:rsidRPr="000F0C4F">
        <w:rPr>
          <w:rFonts w:cs="Arial"/>
        </w:rPr>
        <w:t>are detailed below:</w:t>
      </w:r>
    </w:p>
    <w:p w:rsidR="00F7632C" w:rsidRDefault="009870D0" w:rsidP="00957F91">
      <w:pPr>
        <w:spacing w:after="240"/>
        <w:ind w:left="1134" w:right="306" w:hanging="432"/>
        <w:jc w:val="both"/>
        <w:rPr>
          <w:rFonts w:cs="Arial"/>
          <w:bCs/>
        </w:rPr>
      </w:pPr>
      <w:r>
        <w:rPr>
          <w:rFonts w:cs="Arial"/>
        </w:rPr>
        <w:t>●</w:t>
      </w:r>
      <w:r>
        <w:rPr>
          <w:rFonts w:cs="Arial"/>
        </w:rPr>
        <w:tab/>
      </w:r>
      <w:r w:rsidR="00DE1EA1" w:rsidRPr="00DE1EA1">
        <w:rPr>
          <w:rFonts w:cs="Arial"/>
          <w:bCs/>
        </w:rPr>
        <w:t>The Manageme</w:t>
      </w:r>
      <w:r w:rsidR="00E41171">
        <w:rPr>
          <w:rFonts w:cs="Arial"/>
          <w:bCs/>
        </w:rPr>
        <w:t>nt Team is showing a net (£0.10</w:t>
      </w:r>
      <w:r w:rsidR="006554C2">
        <w:rPr>
          <w:rFonts w:cs="Arial"/>
          <w:bCs/>
        </w:rPr>
        <w:t>1</w:t>
      </w:r>
      <w:r w:rsidR="00DE1EA1" w:rsidRPr="00DE1EA1">
        <w:rPr>
          <w:rFonts w:cs="Arial"/>
          <w:bCs/>
        </w:rPr>
        <w:t xml:space="preserve">m) underspend which represents the savings realised on the delayed recruitment to the </w:t>
      </w:r>
      <w:r w:rsidR="00110827">
        <w:rPr>
          <w:rFonts w:cs="Arial"/>
          <w:bCs/>
        </w:rPr>
        <w:t xml:space="preserve">Corporate </w:t>
      </w:r>
      <w:r w:rsidR="00DE1EA1" w:rsidRPr="00DE1EA1">
        <w:rPr>
          <w:rFonts w:cs="Arial"/>
          <w:bCs/>
        </w:rPr>
        <w:t xml:space="preserve">Director of Resources </w:t>
      </w:r>
      <w:r w:rsidR="00A3368C" w:rsidRPr="00DE1EA1">
        <w:rPr>
          <w:rFonts w:cs="Arial"/>
          <w:bCs/>
        </w:rPr>
        <w:t>position.</w:t>
      </w:r>
    </w:p>
    <w:p w:rsidR="00F7632C" w:rsidRDefault="00F7632C" w:rsidP="00957F91">
      <w:pPr>
        <w:pStyle w:val="ListParagraph"/>
        <w:numPr>
          <w:ilvl w:val="0"/>
          <w:numId w:val="151"/>
        </w:numPr>
        <w:spacing w:after="240"/>
        <w:ind w:left="1134" w:right="306" w:hanging="426"/>
        <w:jc w:val="both"/>
        <w:rPr>
          <w:rFonts w:cs="Arial"/>
          <w:bCs/>
        </w:rPr>
      </w:pPr>
      <w:r w:rsidRPr="00F7632C">
        <w:rPr>
          <w:rFonts w:cs="Arial"/>
          <w:bCs/>
        </w:rPr>
        <w:t xml:space="preserve">The Finance division is reporting a net (£0.200m) underspend, which </w:t>
      </w:r>
      <w:r w:rsidR="00110827">
        <w:rPr>
          <w:rFonts w:cs="Arial"/>
          <w:bCs/>
        </w:rPr>
        <w:t xml:space="preserve">largely </w:t>
      </w:r>
      <w:r w:rsidR="0019512E" w:rsidRPr="00F7632C">
        <w:rPr>
          <w:rFonts w:cs="Arial"/>
          <w:bCs/>
        </w:rPr>
        <w:t>relates to</w:t>
      </w:r>
      <w:r w:rsidRPr="00F7632C">
        <w:rPr>
          <w:rFonts w:cs="Arial"/>
          <w:bCs/>
        </w:rPr>
        <w:t xml:space="preserve"> </w:t>
      </w:r>
      <w:r w:rsidR="004F1121" w:rsidRPr="00F7632C">
        <w:rPr>
          <w:rFonts w:cs="Arial"/>
          <w:bCs/>
        </w:rPr>
        <w:t>reduce</w:t>
      </w:r>
      <w:r w:rsidR="00ED6A7F">
        <w:rPr>
          <w:rFonts w:cs="Arial"/>
          <w:bCs/>
        </w:rPr>
        <w:t>d</w:t>
      </w:r>
      <w:r w:rsidRPr="00F7632C">
        <w:rPr>
          <w:rFonts w:cs="Arial"/>
          <w:bCs/>
        </w:rPr>
        <w:t xml:space="preserve"> insurance premiums for the authority and a number of other minor variances</w:t>
      </w:r>
      <w:r w:rsidR="001A7F5C">
        <w:rPr>
          <w:rFonts w:cs="Arial"/>
          <w:bCs/>
        </w:rPr>
        <w:t>.</w:t>
      </w:r>
      <w:r w:rsidR="0042236B">
        <w:rPr>
          <w:rFonts w:cs="Arial"/>
          <w:bCs/>
        </w:rPr>
        <w:t xml:space="preserve">  This underspend is after allowing for a transfer into a</w:t>
      </w:r>
      <w:r w:rsidR="008A4F31">
        <w:rPr>
          <w:rFonts w:cs="Arial"/>
          <w:bCs/>
        </w:rPr>
        <w:t>n</w:t>
      </w:r>
      <w:r w:rsidR="0042236B">
        <w:rPr>
          <w:rFonts w:cs="Arial"/>
          <w:bCs/>
        </w:rPr>
        <w:t xml:space="preserve"> Investment Property Reserve of £</w:t>
      </w:r>
      <w:r w:rsidR="00046CB3">
        <w:rPr>
          <w:rFonts w:cs="Arial"/>
          <w:bCs/>
        </w:rPr>
        <w:t>0.</w:t>
      </w:r>
      <w:r w:rsidR="0042236B">
        <w:rPr>
          <w:rFonts w:cs="Arial"/>
          <w:bCs/>
        </w:rPr>
        <w:t>200</w:t>
      </w:r>
      <w:r w:rsidR="00046CB3">
        <w:rPr>
          <w:rFonts w:cs="Arial"/>
          <w:bCs/>
        </w:rPr>
        <w:t>m</w:t>
      </w:r>
      <w:r w:rsidR="0042236B">
        <w:rPr>
          <w:rFonts w:cs="Arial"/>
          <w:bCs/>
        </w:rPr>
        <w:t xml:space="preserve"> to cover any potential income shortfalls from investment properties.</w:t>
      </w:r>
    </w:p>
    <w:p w:rsidR="001A7F5C" w:rsidRDefault="001A7F5C" w:rsidP="00400300">
      <w:pPr>
        <w:pStyle w:val="ListParagraph"/>
        <w:spacing w:after="240"/>
        <w:ind w:left="993" w:right="306"/>
        <w:jc w:val="both"/>
        <w:rPr>
          <w:rFonts w:cs="Arial"/>
          <w:bCs/>
        </w:rPr>
      </w:pPr>
    </w:p>
    <w:p w:rsidR="001A7F5C" w:rsidRPr="00400300" w:rsidRDefault="001A7F5C" w:rsidP="00957F91">
      <w:pPr>
        <w:pStyle w:val="ListParagraph"/>
        <w:numPr>
          <w:ilvl w:val="0"/>
          <w:numId w:val="147"/>
        </w:numPr>
        <w:spacing w:after="240"/>
        <w:ind w:left="1134" w:right="306" w:hanging="426"/>
        <w:jc w:val="both"/>
        <w:rPr>
          <w:rFonts w:cs="Arial"/>
        </w:rPr>
      </w:pPr>
      <w:r w:rsidRPr="00BA760A">
        <w:rPr>
          <w:rFonts w:cs="Arial"/>
          <w:bCs/>
        </w:rPr>
        <w:t>Human</w:t>
      </w:r>
      <w:r w:rsidRPr="00B045F1">
        <w:rPr>
          <w:rFonts w:cs="Arial"/>
          <w:bCs/>
        </w:rPr>
        <w:t xml:space="preserve"> Resou</w:t>
      </w:r>
      <w:r w:rsidR="006554C2">
        <w:rPr>
          <w:rFonts w:cs="Arial"/>
          <w:bCs/>
        </w:rPr>
        <w:t>rces are reporting a net (£0.149</w:t>
      </w:r>
      <w:r w:rsidRPr="00B045F1">
        <w:rPr>
          <w:rFonts w:cs="Arial"/>
          <w:bCs/>
        </w:rPr>
        <w:t>m) under spend, which</w:t>
      </w:r>
      <w:r w:rsidRPr="00B045F1">
        <w:rPr>
          <w:rFonts w:cs="Arial"/>
          <w:bCs/>
          <w:lang w:val="en-US"/>
        </w:rPr>
        <w:t xml:space="preserve"> </w:t>
      </w:r>
      <w:r w:rsidR="00110827">
        <w:rPr>
          <w:rFonts w:cs="Arial"/>
          <w:bCs/>
          <w:lang w:val="en-US"/>
        </w:rPr>
        <w:t xml:space="preserve">largely </w:t>
      </w:r>
      <w:r w:rsidRPr="00B045F1">
        <w:rPr>
          <w:rFonts w:cs="Arial"/>
          <w:bCs/>
          <w:lang w:val="en-US"/>
        </w:rPr>
        <w:t xml:space="preserve">relates to </w:t>
      </w:r>
      <w:r w:rsidR="00110827">
        <w:rPr>
          <w:rFonts w:cs="Arial"/>
          <w:bCs/>
          <w:lang w:val="en-US"/>
        </w:rPr>
        <w:t>a lower l</w:t>
      </w:r>
      <w:r w:rsidR="001D3A65">
        <w:rPr>
          <w:rFonts w:cs="Arial"/>
          <w:bCs/>
          <w:lang w:val="en-US"/>
        </w:rPr>
        <w:t>e</w:t>
      </w:r>
      <w:r w:rsidR="00110827">
        <w:rPr>
          <w:rFonts w:cs="Arial"/>
          <w:bCs/>
          <w:lang w:val="en-US"/>
        </w:rPr>
        <w:t xml:space="preserve">vel of </w:t>
      </w:r>
      <w:r w:rsidRPr="00B045F1">
        <w:rPr>
          <w:rFonts w:cs="Arial"/>
          <w:bCs/>
          <w:lang w:val="en-US"/>
        </w:rPr>
        <w:t xml:space="preserve">spend on Learning and Development and </w:t>
      </w:r>
      <w:proofErr w:type="spellStart"/>
      <w:r w:rsidRPr="00B045F1">
        <w:rPr>
          <w:rFonts w:cs="Arial"/>
          <w:bCs/>
          <w:lang w:val="en-US"/>
        </w:rPr>
        <w:t>Organi</w:t>
      </w:r>
      <w:r w:rsidR="00110827">
        <w:rPr>
          <w:rFonts w:cs="Arial"/>
          <w:bCs/>
          <w:lang w:val="en-US"/>
        </w:rPr>
        <w:t>s</w:t>
      </w:r>
      <w:r w:rsidRPr="00B045F1">
        <w:rPr>
          <w:rFonts w:cs="Arial"/>
          <w:bCs/>
          <w:lang w:val="en-US"/>
        </w:rPr>
        <w:t>ational</w:t>
      </w:r>
      <w:proofErr w:type="spellEnd"/>
      <w:r w:rsidRPr="00B045F1">
        <w:rPr>
          <w:rFonts w:cs="Arial"/>
          <w:bCs/>
          <w:lang w:val="en-US"/>
        </w:rPr>
        <w:t xml:space="preserve"> Development.</w:t>
      </w:r>
    </w:p>
    <w:p w:rsidR="00B13F7F" w:rsidRPr="00B045F1" w:rsidRDefault="00B13F7F" w:rsidP="00400300">
      <w:pPr>
        <w:pStyle w:val="ListParagraph"/>
        <w:spacing w:after="240"/>
        <w:ind w:left="993" w:right="306"/>
        <w:jc w:val="both"/>
        <w:rPr>
          <w:rFonts w:cs="Arial"/>
        </w:rPr>
      </w:pPr>
    </w:p>
    <w:p w:rsidR="00DE1EA1" w:rsidRPr="00BA760A" w:rsidRDefault="00BB2D5B" w:rsidP="00957F91">
      <w:pPr>
        <w:pStyle w:val="ListParagraph"/>
        <w:numPr>
          <w:ilvl w:val="0"/>
          <w:numId w:val="81"/>
        </w:numPr>
        <w:spacing w:after="240"/>
        <w:ind w:left="1134" w:right="306" w:hanging="432"/>
        <w:jc w:val="both"/>
        <w:rPr>
          <w:rFonts w:cs="Arial"/>
        </w:rPr>
      </w:pPr>
      <w:r w:rsidRPr="00BB2D5B">
        <w:rPr>
          <w:rFonts w:cs="Arial"/>
          <w:bCs/>
        </w:rPr>
        <w:t xml:space="preserve">Legal and Governance are reporting an overall net </w:t>
      </w:r>
      <w:r w:rsidR="00746E89">
        <w:rPr>
          <w:rFonts w:cs="Arial"/>
          <w:bCs/>
        </w:rPr>
        <w:t>(</w:t>
      </w:r>
      <w:r w:rsidRPr="00BB2D5B">
        <w:rPr>
          <w:rFonts w:cs="Arial"/>
          <w:bCs/>
        </w:rPr>
        <w:t>£</w:t>
      </w:r>
      <w:r w:rsidR="00746E89">
        <w:rPr>
          <w:rFonts w:cs="Arial"/>
          <w:bCs/>
        </w:rPr>
        <w:t>0.</w:t>
      </w:r>
      <w:r w:rsidR="00DE1EA1">
        <w:rPr>
          <w:rFonts w:cs="Arial"/>
          <w:bCs/>
        </w:rPr>
        <w:t>882</w:t>
      </w:r>
      <w:r w:rsidR="00746E89">
        <w:rPr>
          <w:rFonts w:cs="Arial"/>
          <w:bCs/>
        </w:rPr>
        <w:t>m)</w:t>
      </w:r>
      <w:r w:rsidRPr="00BB2D5B">
        <w:rPr>
          <w:rFonts w:cs="Arial"/>
          <w:bCs/>
        </w:rPr>
        <w:t xml:space="preserve"> </w:t>
      </w:r>
      <w:r w:rsidR="00CF36A4">
        <w:rPr>
          <w:rFonts w:cs="Arial"/>
          <w:bCs/>
        </w:rPr>
        <w:t>under spend</w:t>
      </w:r>
      <w:r w:rsidR="00DE1EA1" w:rsidRPr="00DE1EA1">
        <w:rPr>
          <w:rFonts w:cs="Arial"/>
          <w:bCs/>
        </w:rPr>
        <w:t xml:space="preserve"> due to </w:t>
      </w:r>
      <w:r w:rsidR="00110827">
        <w:rPr>
          <w:rFonts w:cs="Arial"/>
          <w:bCs/>
        </w:rPr>
        <w:t xml:space="preserve">a </w:t>
      </w:r>
      <w:r w:rsidR="00DE1EA1" w:rsidRPr="00DE1EA1">
        <w:rPr>
          <w:rFonts w:cs="Arial"/>
          <w:bCs/>
        </w:rPr>
        <w:t xml:space="preserve">higher than anticipated demand for </w:t>
      </w:r>
      <w:r w:rsidR="00DE1EA1" w:rsidRPr="00CF7900">
        <w:rPr>
          <w:rFonts w:cs="Arial"/>
          <w:bCs/>
        </w:rPr>
        <w:t>Land Charges</w:t>
      </w:r>
      <w:r w:rsidR="00DE1EA1" w:rsidRPr="00DE1EA1">
        <w:rPr>
          <w:rFonts w:cs="Arial"/>
          <w:bCs/>
        </w:rPr>
        <w:t>, Registration and Legal Services and a small underspend in Members’ Allowances</w:t>
      </w:r>
      <w:r w:rsidR="0042236B">
        <w:rPr>
          <w:rFonts w:cs="Arial"/>
          <w:bCs/>
        </w:rPr>
        <w:t xml:space="preserve">.  The underspend is </w:t>
      </w:r>
      <w:r w:rsidR="00D011C3">
        <w:rPr>
          <w:rFonts w:cs="Arial"/>
          <w:bCs/>
        </w:rPr>
        <w:t>after allowing for a transfer into reserves of £</w:t>
      </w:r>
      <w:r w:rsidR="00046CB3">
        <w:rPr>
          <w:rFonts w:cs="Arial"/>
          <w:bCs/>
        </w:rPr>
        <w:t>0.</w:t>
      </w:r>
      <w:r w:rsidR="00D011C3">
        <w:rPr>
          <w:rFonts w:cs="Arial"/>
          <w:bCs/>
        </w:rPr>
        <w:t>716</w:t>
      </w:r>
      <w:r w:rsidR="00046CB3">
        <w:rPr>
          <w:rFonts w:cs="Arial"/>
          <w:bCs/>
        </w:rPr>
        <w:t>m</w:t>
      </w:r>
      <w:r w:rsidR="00D011C3">
        <w:rPr>
          <w:rFonts w:cs="Arial"/>
          <w:bCs/>
        </w:rPr>
        <w:t xml:space="preserve"> to cover any potential shortfalls in income from </w:t>
      </w:r>
      <w:r w:rsidR="0042236B">
        <w:rPr>
          <w:rFonts w:cs="Arial"/>
          <w:bCs/>
        </w:rPr>
        <w:t>the existing shared service arrangements with other Local Authorities.</w:t>
      </w:r>
    </w:p>
    <w:p w:rsidR="00A3368C" w:rsidRPr="00DE1EA1" w:rsidRDefault="00A3368C" w:rsidP="00400300">
      <w:pPr>
        <w:pStyle w:val="ListParagraph"/>
        <w:spacing w:after="240"/>
        <w:ind w:left="993" w:right="306"/>
        <w:jc w:val="both"/>
        <w:rPr>
          <w:rFonts w:cs="Arial"/>
        </w:rPr>
      </w:pPr>
    </w:p>
    <w:p w:rsidR="00BB2D5B" w:rsidRPr="00252320" w:rsidRDefault="00CF36A4" w:rsidP="00957F91">
      <w:pPr>
        <w:pStyle w:val="ListParagraph"/>
        <w:numPr>
          <w:ilvl w:val="0"/>
          <w:numId w:val="81"/>
        </w:numPr>
        <w:spacing w:after="240"/>
        <w:ind w:left="1134" w:right="306" w:hanging="432"/>
        <w:jc w:val="both"/>
        <w:rPr>
          <w:rFonts w:cs="Arial"/>
        </w:rPr>
      </w:pPr>
      <w:r>
        <w:rPr>
          <w:rFonts w:cs="Arial"/>
          <w:bCs/>
        </w:rPr>
        <w:t xml:space="preserve">The </w:t>
      </w:r>
      <w:r w:rsidR="00DE1EA1" w:rsidRPr="00DE1EA1">
        <w:rPr>
          <w:rFonts w:cs="Arial"/>
          <w:bCs/>
        </w:rPr>
        <w:t xml:space="preserve">Procurement and Commercialisation service is reporting a net </w:t>
      </w:r>
      <w:r w:rsidR="00DE1EA1">
        <w:rPr>
          <w:rFonts w:cs="Arial"/>
          <w:bCs/>
        </w:rPr>
        <w:t>(</w:t>
      </w:r>
      <w:r w:rsidR="00E41171">
        <w:rPr>
          <w:rFonts w:cs="Arial"/>
          <w:bCs/>
        </w:rPr>
        <w:t>£0.1</w:t>
      </w:r>
      <w:r w:rsidR="006554C2">
        <w:rPr>
          <w:rFonts w:cs="Arial"/>
          <w:bCs/>
        </w:rPr>
        <w:t>40</w:t>
      </w:r>
      <w:r w:rsidR="00DE1EA1" w:rsidRPr="00DE1EA1">
        <w:rPr>
          <w:rFonts w:cs="Arial"/>
          <w:bCs/>
        </w:rPr>
        <w:t>m</w:t>
      </w:r>
      <w:r w:rsidR="00DE1EA1">
        <w:rPr>
          <w:rFonts w:cs="Arial"/>
          <w:bCs/>
        </w:rPr>
        <w:t>)</w:t>
      </w:r>
      <w:r w:rsidR="00DE1EA1" w:rsidRPr="00DE1EA1">
        <w:rPr>
          <w:rFonts w:cs="Arial"/>
          <w:bCs/>
        </w:rPr>
        <w:t xml:space="preserve"> under spend which relates to savings on staff cost</w:t>
      </w:r>
      <w:r w:rsidR="00110827">
        <w:rPr>
          <w:rFonts w:cs="Arial"/>
          <w:bCs/>
        </w:rPr>
        <w:t>s</w:t>
      </w:r>
      <w:r w:rsidR="00DE1EA1" w:rsidRPr="00DE1EA1">
        <w:rPr>
          <w:rFonts w:cs="Arial"/>
          <w:bCs/>
        </w:rPr>
        <w:t xml:space="preserve"> and efficiencies</w:t>
      </w:r>
      <w:r w:rsidR="00110827">
        <w:rPr>
          <w:rFonts w:cs="Arial"/>
          <w:bCs/>
        </w:rPr>
        <w:t>.</w:t>
      </w:r>
    </w:p>
    <w:p w:rsidR="00252320" w:rsidRPr="00252320" w:rsidRDefault="00252320">
      <w:pPr>
        <w:pStyle w:val="ListParagraph"/>
        <w:jc w:val="both"/>
        <w:rPr>
          <w:rFonts w:cs="Arial"/>
        </w:rPr>
      </w:pPr>
    </w:p>
    <w:p w:rsidR="00252320" w:rsidRPr="00280E06" w:rsidRDefault="00252320" w:rsidP="00957F91">
      <w:pPr>
        <w:pStyle w:val="ListParagraph"/>
        <w:numPr>
          <w:ilvl w:val="0"/>
          <w:numId w:val="81"/>
        </w:numPr>
        <w:spacing w:after="240"/>
        <w:ind w:left="1134" w:right="306" w:hanging="432"/>
        <w:jc w:val="both"/>
        <w:rPr>
          <w:rFonts w:cs="Arial"/>
        </w:rPr>
      </w:pPr>
      <w:r>
        <w:rPr>
          <w:rFonts w:cs="Arial"/>
        </w:rPr>
        <w:t>Other under spends across the services of (£0.0</w:t>
      </w:r>
      <w:r w:rsidR="00882C9E">
        <w:rPr>
          <w:rFonts w:cs="Arial"/>
        </w:rPr>
        <w:t>73</w:t>
      </w:r>
      <w:r>
        <w:rPr>
          <w:rFonts w:cs="Arial"/>
        </w:rPr>
        <w:t>m)</w:t>
      </w:r>
      <w:r w:rsidR="00D70251">
        <w:rPr>
          <w:rFonts w:cs="Arial"/>
        </w:rPr>
        <w:t>.</w:t>
      </w:r>
    </w:p>
    <w:p w:rsidR="00BB2D5B" w:rsidRPr="00280E06" w:rsidRDefault="007E5111" w:rsidP="00957F91">
      <w:pPr>
        <w:spacing w:after="240"/>
        <w:ind w:right="306"/>
        <w:jc w:val="both"/>
        <w:rPr>
          <w:rFonts w:cs="Arial"/>
        </w:rPr>
      </w:pPr>
      <w:r>
        <w:rPr>
          <w:rFonts w:cs="Arial"/>
        </w:rPr>
        <w:t>2.4</w:t>
      </w:r>
      <w:r>
        <w:rPr>
          <w:rFonts w:cs="Arial"/>
        </w:rPr>
        <w:tab/>
      </w:r>
      <w:r w:rsidR="003924D0">
        <w:rPr>
          <w:rFonts w:cs="Arial"/>
        </w:rPr>
        <w:t>The above are</w:t>
      </w:r>
      <w:r w:rsidR="00BB2D5B">
        <w:rPr>
          <w:rFonts w:cs="Arial"/>
        </w:rPr>
        <w:t xml:space="preserve"> </w:t>
      </w:r>
      <w:r w:rsidR="00991001">
        <w:rPr>
          <w:rFonts w:cs="Arial"/>
        </w:rPr>
        <w:t xml:space="preserve">partly </w:t>
      </w:r>
      <w:r w:rsidR="00BB2D5B">
        <w:rPr>
          <w:rFonts w:cs="Arial"/>
        </w:rPr>
        <w:t xml:space="preserve">offset by </w:t>
      </w:r>
      <w:r w:rsidR="00110827">
        <w:rPr>
          <w:rFonts w:cs="Arial"/>
        </w:rPr>
        <w:t xml:space="preserve">a number of </w:t>
      </w:r>
      <w:r w:rsidR="00BB2D5B">
        <w:rPr>
          <w:rFonts w:cs="Arial"/>
        </w:rPr>
        <w:t>over spe</w:t>
      </w:r>
      <w:r w:rsidR="00240F7C">
        <w:rPr>
          <w:rFonts w:cs="Arial"/>
        </w:rPr>
        <w:t>n</w:t>
      </w:r>
      <w:r w:rsidR="00BB2D5B">
        <w:rPr>
          <w:rFonts w:cs="Arial"/>
        </w:rPr>
        <w:t>ds</w:t>
      </w:r>
      <w:r w:rsidR="00110827">
        <w:rPr>
          <w:rFonts w:cs="Arial"/>
        </w:rPr>
        <w:t>:</w:t>
      </w:r>
      <w:r w:rsidR="00BB2D5B">
        <w:rPr>
          <w:rFonts w:cs="Arial"/>
        </w:rPr>
        <w:t xml:space="preserve"> </w:t>
      </w:r>
    </w:p>
    <w:p w:rsidR="00BD067B" w:rsidRDefault="00746E89" w:rsidP="00957F91">
      <w:pPr>
        <w:pStyle w:val="ListParagraph"/>
        <w:numPr>
          <w:ilvl w:val="0"/>
          <w:numId w:val="46"/>
        </w:numPr>
        <w:spacing w:after="240"/>
        <w:ind w:left="1134" w:right="306" w:hanging="425"/>
        <w:jc w:val="both"/>
        <w:rPr>
          <w:rFonts w:cs="Arial"/>
        </w:rPr>
      </w:pPr>
      <w:r w:rsidRPr="004E7384">
        <w:rPr>
          <w:rFonts w:cs="Arial"/>
          <w:bCs/>
        </w:rPr>
        <w:t xml:space="preserve">The Business Support </w:t>
      </w:r>
      <w:r w:rsidRPr="004E7384">
        <w:rPr>
          <w:rFonts w:cs="Arial"/>
        </w:rPr>
        <w:t>division is reporting a net overspend of £0.</w:t>
      </w:r>
      <w:r w:rsidR="00DE1EA1">
        <w:rPr>
          <w:rFonts w:cs="Arial"/>
        </w:rPr>
        <w:t>162</w:t>
      </w:r>
      <w:r w:rsidRPr="004E7384">
        <w:rPr>
          <w:rFonts w:cs="Arial"/>
        </w:rPr>
        <w:t>m which results from</w:t>
      </w:r>
      <w:r w:rsidR="00BD067B">
        <w:rPr>
          <w:rFonts w:cs="Arial"/>
        </w:rPr>
        <w:t xml:space="preserve"> </w:t>
      </w:r>
      <w:r w:rsidR="00BD067B" w:rsidRPr="00BD067B">
        <w:rPr>
          <w:rFonts w:cs="Arial"/>
        </w:rPr>
        <w:t>increased amount</w:t>
      </w:r>
      <w:r w:rsidR="00110827">
        <w:rPr>
          <w:rFonts w:cs="Arial"/>
        </w:rPr>
        <w:t>s</w:t>
      </w:r>
      <w:r w:rsidR="00BD067B" w:rsidRPr="00BD067B">
        <w:rPr>
          <w:rFonts w:cs="Arial"/>
        </w:rPr>
        <w:t xml:space="preserve"> of outbound post and </w:t>
      </w:r>
      <w:r w:rsidR="00110827">
        <w:rPr>
          <w:rFonts w:cs="Arial"/>
        </w:rPr>
        <w:t xml:space="preserve">the </w:t>
      </w:r>
      <w:r w:rsidR="00BD067B" w:rsidRPr="00BD067B">
        <w:rPr>
          <w:rFonts w:cs="Arial"/>
        </w:rPr>
        <w:t>initial set up cost</w:t>
      </w:r>
      <w:r w:rsidR="00110827">
        <w:rPr>
          <w:rFonts w:cs="Arial"/>
        </w:rPr>
        <w:t>s</w:t>
      </w:r>
      <w:r w:rsidR="00BD067B" w:rsidRPr="00BD067B">
        <w:rPr>
          <w:rFonts w:cs="Arial"/>
        </w:rPr>
        <w:t xml:space="preserve"> of the new hybrid mail process</w:t>
      </w:r>
      <w:r w:rsidR="00BD067B">
        <w:rPr>
          <w:rFonts w:cs="Arial"/>
        </w:rPr>
        <w:t>.</w:t>
      </w:r>
    </w:p>
    <w:p w:rsidR="00BD067B" w:rsidRDefault="00BD067B" w:rsidP="00400300">
      <w:pPr>
        <w:pStyle w:val="ListParagraph"/>
        <w:spacing w:after="240"/>
        <w:ind w:left="851" w:right="306"/>
        <w:jc w:val="both"/>
        <w:rPr>
          <w:rFonts w:cs="Arial"/>
        </w:rPr>
      </w:pPr>
    </w:p>
    <w:p w:rsidR="00A3368C" w:rsidRDefault="00A01822" w:rsidP="00957F91">
      <w:pPr>
        <w:pStyle w:val="ListParagraph"/>
        <w:numPr>
          <w:ilvl w:val="0"/>
          <w:numId w:val="46"/>
        </w:numPr>
        <w:spacing w:after="240"/>
        <w:ind w:left="1134" w:right="306"/>
        <w:jc w:val="both"/>
        <w:rPr>
          <w:rFonts w:cs="Arial"/>
        </w:rPr>
      </w:pPr>
      <w:r w:rsidRPr="00BD067B">
        <w:rPr>
          <w:rFonts w:cs="Arial"/>
        </w:rPr>
        <w:t>Customers</w:t>
      </w:r>
      <w:r w:rsidR="00A3368C" w:rsidRPr="00BD067B">
        <w:rPr>
          <w:rFonts w:cs="Arial"/>
        </w:rPr>
        <w:t xml:space="preserve"> Services</w:t>
      </w:r>
      <w:r w:rsidR="00B13F7F">
        <w:rPr>
          <w:rFonts w:cs="Arial"/>
        </w:rPr>
        <w:t xml:space="preserve"> are reporting a net £0.890</w:t>
      </w:r>
      <w:r w:rsidR="00BD067B" w:rsidRPr="00BD067B">
        <w:rPr>
          <w:rFonts w:cs="Arial"/>
        </w:rPr>
        <w:t xml:space="preserve">m over spend which </w:t>
      </w:r>
      <w:r w:rsidR="004F1121">
        <w:rPr>
          <w:rFonts w:cs="Arial"/>
        </w:rPr>
        <w:t xml:space="preserve">mainly relates to </w:t>
      </w:r>
      <w:r w:rsidR="0042236B">
        <w:rPr>
          <w:rFonts w:cs="Arial"/>
        </w:rPr>
        <w:t xml:space="preserve">the write off back to revenue of £2.7m for a </w:t>
      </w:r>
      <w:r w:rsidR="004F1121">
        <w:rPr>
          <w:rFonts w:cs="Arial"/>
        </w:rPr>
        <w:t xml:space="preserve">Corporate </w:t>
      </w:r>
      <w:r w:rsidR="00110827">
        <w:rPr>
          <w:rFonts w:cs="Arial"/>
        </w:rPr>
        <w:t xml:space="preserve">IT </w:t>
      </w:r>
      <w:proofErr w:type="gramStart"/>
      <w:r w:rsidR="008A4F31">
        <w:rPr>
          <w:rFonts w:cs="Arial"/>
        </w:rPr>
        <w:t xml:space="preserve">Capital </w:t>
      </w:r>
      <w:r w:rsidR="004F1121">
        <w:rPr>
          <w:rFonts w:cs="Arial"/>
        </w:rPr>
        <w:t xml:space="preserve"> project</w:t>
      </w:r>
      <w:proofErr w:type="gramEnd"/>
      <w:r w:rsidR="004F1121">
        <w:rPr>
          <w:rFonts w:cs="Arial"/>
        </w:rPr>
        <w:t>.</w:t>
      </w:r>
    </w:p>
    <w:p w:rsidR="00A3368C" w:rsidRPr="00BA760A" w:rsidRDefault="00A3368C" w:rsidP="00400300">
      <w:pPr>
        <w:pStyle w:val="ListParagraph"/>
        <w:jc w:val="both"/>
        <w:rPr>
          <w:rFonts w:cs="Arial"/>
        </w:rPr>
      </w:pPr>
    </w:p>
    <w:p w:rsidR="00746E89" w:rsidRPr="00CE608E" w:rsidRDefault="00A3368C" w:rsidP="00957F91">
      <w:pPr>
        <w:pStyle w:val="ListParagraph"/>
        <w:numPr>
          <w:ilvl w:val="0"/>
          <w:numId w:val="46"/>
        </w:numPr>
        <w:spacing w:after="240"/>
        <w:ind w:left="1134" w:right="306" w:hanging="425"/>
        <w:jc w:val="both"/>
        <w:rPr>
          <w:rFonts w:cs="Arial"/>
        </w:rPr>
      </w:pPr>
      <w:r w:rsidRPr="00A3368C">
        <w:rPr>
          <w:rFonts w:cs="Arial"/>
          <w:bCs/>
        </w:rPr>
        <w:t>The Strategic Commissioning division is re</w:t>
      </w:r>
      <w:r w:rsidR="00882C9E">
        <w:rPr>
          <w:rFonts w:cs="Arial"/>
          <w:bCs/>
        </w:rPr>
        <w:t>porting a net overspend of £0.2</w:t>
      </w:r>
      <w:r w:rsidR="006554C2">
        <w:rPr>
          <w:rFonts w:cs="Arial"/>
          <w:bCs/>
        </w:rPr>
        <w:t>92</w:t>
      </w:r>
      <w:r w:rsidRPr="00A3368C">
        <w:rPr>
          <w:rFonts w:cs="Arial"/>
          <w:bCs/>
        </w:rPr>
        <w:t xml:space="preserve">m  due to unachieved MTFS savings targets combined with the </w:t>
      </w:r>
      <w:r w:rsidRPr="00A3368C">
        <w:rPr>
          <w:rFonts w:cs="Arial"/>
          <w:bCs/>
        </w:rPr>
        <w:lastRenderedPageBreak/>
        <w:t xml:space="preserve">increased income target in relation to Communication services and Commissioned work. </w:t>
      </w:r>
    </w:p>
    <w:p w:rsidR="007F7813" w:rsidRPr="00EA77B6" w:rsidRDefault="007F7813" w:rsidP="00957F91">
      <w:pPr>
        <w:pStyle w:val="ListParagraph"/>
        <w:rPr>
          <w:rFonts w:cs="Arial"/>
        </w:rPr>
      </w:pPr>
    </w:p>
    <w:p w:rsidR="000352B8" w:rsidRDefault="009E2F1D" w:rsidP="00957F91">
      <w:pPr>
        <w:spacing w:after="240"/>
        <w:ind w:right="306" w:firstLine="709"/>
        <w:jc w:val="both"/>
        <w:rPr>
          <w:rFonts w:cs="Arial"/>
          <w:b/>
        </w:rPr>
      </w:pPr>
      <w:r w:rsidRPr="00BD067B">
        <w:rPr>
          <w:rFonts w:cs="Arial"/>
        </w:rPr>
        <w:t>The recommended carry forward requests of £</w:t>
      </w:r>
      <w:r w:rsidR="002220B0" w:rsidRPr="00BD067B">
        <w:rPr>
          <w:rFonts w:cs="Arial"/>
        </w:rPr>
        <w:t>1.0</w:t>
      </w:r>
      <w:r w:rsidR="00B13F7F">
        <w:rPr>
          <w:rFonts w:cs="Arial"/>
        </w:rPr>
        <w:t>80</w:t>
      </w:r>
      <w:r w:rsidR="00BF338E" w:rsidRPr="00BD067B">
        <w:rPr>
          <w:rFonts w:cs="Arial"/>
        </w:rPr>
        <w:t>m</w:t>
      </w:r>
      <w:r w:rsidR="00785BAB" w:rsidRPr="00BD067B">
        <w:rPr>
          <w:rFonts w:cs="Arial"/>
        </w:rPr>
        <w:t xml:space="preserve"> are set out </w:t>
      </w:r>
      <w:r w:rsidR="00AC08D3" w:rsidRPr="00BD067B">
        <w:rPr>
          <w:rFonts w:cs="Arial"/>
        </w:rPr>
        <w:t xml:space="preserve">in </w:t>
      </w:r>
      <w:r w:rsidR="00785BAB" w:rsidRPr="00BD067B">
        <w:rPr>
          <w:rFonts w:cs="Arial"/>
        </w:rPr>
        <w:t xml:space="preserve">Appendix </w:t>
      </w:r>
      <w:r w:rsidR="002F3277" w:rsidRPr="00E41171">
        <w:rPr>
          <w:rFonts w:cs="Arial"/>
        </w:rPr>
        <w:t>1</w:t>
      </w:r>
    </w:p>
    <w:p w:rsidR="006C65CC" w:rsidRDefault="007E5111" w:rsidP="00957F91">
      <w:pPr>
        <w:spacing w:after="240"/>
        <w:ind w:left="709" w:right="306"/>
        <w:jc w:val="both"/>
        <w:rPr>
          <w:rFonts w:cs="Arial"/>
          <w:b/>
        </w:rPr>
      </w:pPr>
      <w:r>
        <w:rPr>
          <w:rFonts w:cs="Arial"/>
          <w:b/>
        </w:rPr>
        <w:t xml:space="preserve"> </w:t>
      </w:r>
      <w:r w:rsidR="00C14341">
        <w:rPr>
          <w:rFonts w:cs="Arial"/>
          <w:b/>
        </w:rPr>
        <w:t>Community</w:t>
      </w:r>
      <w:r w:rsidR="00303617">
        <w:rPr>
          <w:rFonts w:cs="Arial"/>
          <w:b/>
        </w:rPr>
        <w:t xml:space="preserve"> </w:t>
      </w:r>
    </w:p>
    <w:p w:rsidR="00B60256" w:rsidRPr="00400300" w:rsidRDefault="006C65CC" w:rsidP="00957F91">
      <w:pPr>
        <w:spacing w:after="240"/>
        <w:ind w:left="709" w:right="306" w:hanging="709"/>
        <w:jc w:val="both"/>
        <w:rPr>
          <w:rFonts w:cs="Arial"/>
        </w:rPr>
      </w:pPr>
      <w:r>
        <w:rPr>
          <w:rFonts w:cs="Arial"/>
        </w:rPr>
        <w:t>2.</w:t>
      </w:r>
      <w:r w:rsidR="007E5111">
        <w:rPr>
          <w:rFonts w:cs="Arial"/>
        </w:rPr>
        <w:t>5</w:t>
      </w:r>
      <w:r>
        <w:rPr>
          <w:rFonts w:cs="Arial"/>
        </w:rPr>
        <w:tab/>
      </w:r>
      <w:r w:rsidR="003924D0" w:rsidRPr="003924D0">
        <w:rPr>
          <w:rFonts w:cs="Arial"/>
        </w:rPr>
        <w:t xml:space="preserve">The outturn position for Community is an over spend of </w:t>
      </w:r>
      <w:r w:rsidR="003924D0">
        <w:rPr>
          <w:rFonts w:cs="Arial"/>
        </w:rPr>
        <w:t>£</w:t>
      </w:r>
      <w:r w:rsidR="00E87BF0">
        <w:rPr>
          <w:rFonts w:cs="Arial"/>
        </w:rPr>
        <w:t>0.</w:t>
      </w:r>
      <w:r w:rsidR="00CD5373">
        <w:rPr>
          <w:rFonts w:cs="Arial"/>
        </w:rPr>
        <w:t>83</w:t>
      </w:r>
      <w:r w:rsidR="00CD5373" w:rsidRPr="008A5802">
        <w:rPr>
          <w:rFonts w:cs="Arial"/>
        </w:rPr>
        <w:t>4</w:t>
      </w:r>
      <w:r w:rsidR="002F2E97">
        <w:rPr>
          <w:rFonts w:cs="Arial"/>
        </w:rPr>
        <w:t>m</w:t>
      </w:r>
      <w:r w:rsidR="00E87BF0">
        <w:rPr>
          <w:rFonts w:cs="Arial"/>
        </w:rPr>
        <w:t xml:space="preserve"> after taking into consideration </w:t>
      </w:r>
      <w:r w:rsidR="000B7EC2">
        <w:rPr>
          <w:rFonts w:cs="Arial"/>
          <w:szCs w:val="24"/>
          <w:lang w:eastAsia="ar-SA"/>
        </w:rPr>
        <w:t>£0.323m carry forward</w:t>
      </w:r>
      <w:r w:rsidR="0042236B">
        <w:rPr>
          <w:rFonts w:cs="Arial"/>
          <w:szCs w:val="24"/>
          <w:lang w:eastAsia="ar-SA"/>
        </w:rPr>
        <w:t xml:space="preserve"> and the establishment of a vehicle Fund reserve to </w:t>
      </w:r>
      <w:r w:rsidR="00096E6D">
        <w:rPr>
          <w:rFonts w:cs="Arial"/>
          <w:szCs w:val="24"/>
          <w:lang w:eastAsia="ar-SA"/>
        </w:rPr>
        <w:t xml:space="preserve">smooth the cost impact of vehicles maintenance contract over the medium term. </w:t>
      </w:r>
    </w:p>
    <w:p w:rsidR="003924D0" w:rsidRPr="007E5111" w:rsidRDefault="00B60256" w:rsidP="00957F91">
      <w:pPr>
        <w:pStyle w:val="ListParagraph"/>
        <w:numPr>
          <w:ilvl w:val="1"/>
          <w:numId w:val="170"/>
        </w:numPr>
        <w:spacing w:after="240"/>
        <w:ind w:left="709" w:right="306" w:hanging="709"/>
        <w:jc w:val="both"/>
        <w:rPr>
          <w:rFonts w:cs="Arial"/>
        </w:rPr>
      </w:pPr>
      <w:r w:rsidRPr="007E5111">
        <w:rPr>
          <w:rFonts w:cs="Arial"/>
          <w:szCs w:val="24"/>
          <w:lang w:eastAsia="ar-SA"/>
        </w:rPr>
        <w:t>There is an adverse variance of £0.48</w:t>
      </w:r>
      <w:r w:rsidR="00E869EC">
        <w:rPr>
          <w:rFonts w:cs="Arial"/>
          <w:szCs w:val="24"/>
          <w:lang w:eastAsia="ar-SA"/>
        </w:rPr>
        <w:t>7</w:t>
      </w:r>
      <w:r w:rsidRPr="007E5111">
        <w:rPr>
          <w:rFonts w:cs="Arial"/>
          <w:szCs w:val="24"/>
          <w:lang w:eastAsia="ar-SA"/>
        </w:rPr>
        <w:t xml:space="preserve">m in </w:t>
      </w:r>
      <w:r w:rsidRPr="007E5111">
        <w:rPr>
          <w:rFonts w:cs="Arial"/>
          <w:b/>
          <w:szCs w:val="24"/>
          <w:lang w:eastAsia="ar-SA"/>
        </w:rPr>
        <w:t xml:space="preserve">Environment &amp; Culture, </w:t>
      </w:r>
      <w:r w:rsidRPr="007E5111">
        <w:rPr>
          <w:rFonts w:cs="Arial"/>
          <w:szCs w:val="24"/>
          <w:lang w:eastAsia="ar-SA"/>
        </w:rPr>
        <w:t>which is attributable to a number of factors.</w:t>
      </w:r>
      <w:r w:rsidR="000B7EC2" w:rsidRPr="007E5111">
        <w:rPr>
          <w:rFonts w:cs="Arial"/>
          <w:szCs w:val="24"/>
          <w:lang w:eastAsia="ar-SA"/>
        </w:rPr>
        <w:t xml:space="preserve"> </w:t>
      </w:r>
      <w:r w:rsidR="000C64AA" w:rsidRPr="007E5111">
        <w:rPr>
          <w:rFonts w:cs="Arial"/>
        </w:rPr>
        <w:t>The key reasons for the over spend are detailed below:</w:t>
      </w:r>
      <w:r w:rsidR="00753569" w:rsidRPr="007E5111">
        <w:rPr>
          <w:rFonts w:cs="Arial"/>
        </w:rPr>
        <w:t xml:space="preserve"> </w:t>
      </w:r>
    </w:p>
    <w:p w:rsidR="00B60256" w:rsidRDefault="00C14341" w:rsidP="00957F91">
      <w:pPr>
        <w:spacing w:after="240"/>
        <w:ind w:left="1134" w:right="306" w:hanging="425"/>
        <w:jc w:val="both"/>
      </w:pPr>
      <w:r w:rsidRPr="00074EF4">
        <w:t>●</w:t>
      </w:r>
      <w:r w:rsidR="00B60256" w:rsidRPr="00B60256">
        <w:rPr>
          <w:rFonts w:ascii="Times New Roman" w:hAnsi="Times New Roman" w:cs="Arial"/>
          <w:b/>
          <w:sz w:val="22"/>
          <w:szCs w:val="22"/>
        </w:rPr>
        <w:t xml:space="preserve"> </w:t>
      </w:r>
      <w:r w:rsidR="007F7813">
        <w:rPr>
          <w:rFonts w:ascii="Times New Roman" w:hAnsi="Times New Roman" w:cs="Arial"/>
          <w:b/>
          <w:sz w:val="22"/>
          <w:szCs w:val="22"/>
        </w:rPr>
        <w:t xml:space="preserve">  </w:t>
      </w:r>
      <w:r w:rsidR="00B60256" w:rsidRPr="00400300">
        <w:t>Public Protection £0.220m</w:t>
      </w:r>
      <w:r w:rsidR="00B60256" w:rsidRPr="00B60256">
        <w:rPr>
          <w:b/>
        </w:rPr>
        <w:t>:</w:t>
      </w:r>
      <w:r w:rsidR="00B60256" w:rsidRPr="00B60256">
        <w:t xml:space="preserve"> The adverse variance is </w:t>
      </w:r>
      <w:r w:rsidR="00551889">
        <w:t xml:space="preserve">mainly </w:t>
      </w:r>
      <w:r w:rsidR="00B60256" w:rsidRPr="00B60256">
        <w:t>due to a shortfall in Licensing Income of £</w:t>
      </w:r>
      <w:r w:rsidR="00B60256">
        <w:t>0.150m</w:t>
      </w:r>
      <w:r w:rsidR="00B60256" w:rsidRPr="00B60256">
        <w:t xml:space="preserve"> and Health &amp; Safety SLA income of £</w:t>
      </w:r>
      <w:r w:rsidR="00B60256">
        <w:t>0.0</w:t>
      </w:r>
      <w:r w:rsidR="00B60256" w:rsidRPr="00B60256">
        <w:t>50</w:t>
      </w:r>
      <w:r w:rsidR="00B60256">
        <w:t>m</w:t>
      </w:r>
      <w:r w:rsidR="00B60256" w:rsidRPr="00B60256">
        <w:t xml:space="preserve"> as a result of a reduced take-up from schools</w:t>
      </w:r>
      <w:r w:rsidR="00B60256">
        <w:t>.</w:t>
      </w:r>
    </w:p>
    <w:p w:rsidR="00B60256" w:rsidRDefault="00B60256" w:rsidP="00957F91">
      <w:pPr>
        <w:pStyle w:val="ListParagraph"/>
        <w:numPr>
          <w:ilvl w:val="0"/>
          <w:numId w:val="149"/>
        </w:numPr>
        <w:spacing w:after="240"/>
        <w:ind w:left="1134" w:right="306" w:hanging="425"/>
        <w:jc w:val="both"/>
      </w:pPr>
      <w:r w:rsidRPr="00400300">
        <w:t>Waste Management £0.147m</w:t>
      </w:r>
      <w:r w:rsidRPr="00B60256">
        <w:t>: There is an unachieved MTFS saving of £</w:t>
      </w:r>
      <w:r>
        <w:t>0.0</w:t>
      </w:r>
      <w:r w:rsidRPr="00B60256">
        <w:t>75</w:t>
      </w:r>
      <w:r>
        <w:t>m</w:t>
      </w:r>
      <w:r w:rsidRPr="00B60256">
        <w:t xml:space="preserve"> profiled in 18/19 for the route optimisation of Food Waste collection. Although the initiatives in relation to food waste collection are being progressed as part of Waste Review, the saving planned to be achieved in the latter part of the financial year was offset by the additional costs from other proposed changes within the review. Staffing cost was overspent by £</w:t>
      </w:r>
      <w:r>
        <w:t>0.0</w:t>
      </w:r>
      <w:r w:rsidRPr="00B60256">
        <w:t>75</w:t>
      </w:r>
      <w:r>
        <w:t>m</w:t>
      </w:r>
      <w:r w:rsidRPr="00B60256">
        <w:t xml:space="preserve"> due to the use of agency staff and overtime payments. There was also an underachievement of income from sale of recyclable materials </w:t>
      </w:r>
      <w:r w:rsidR="007C16E0">
        <w:t>but this was</w:t>
      </w:r>
      <w:r w:rsidRPr="00B60256">
        <w:t xml:space="preserve"> mitigated by the under</w:t>
      </w:r>
      <w:r>
        <w:t xml:space="preserve"> </w:t>
      </w:r>
      <w:r w:rsidRPr="00B60256">
        <w:t>spend on waste disposal</w:t>
      </w:r>
      <w:r>
        <w:t>.</w:t>
      </w:r>
    </w:p>
    <w:p w:rsidR="00B60256" w:rsidRDefault="00B60256" w:rsidP="00400300">
      <w:pPr>
        <w:pStyle w:val="ListParagraph"/>
        <w:spacing w:after="240"/>
        <w:ind w:left="851" w:right="306"/>
        <w:jc w:val="both"/>
      </w:pPr>
    </w:p>
    <w:p w:rsidR="00B60256" w:rsidRDefault="00B60256" w:rsidP="00957F91">
      <w:pPr>
        <w:pStyle w:val="ListParagraph"/>
        <w:numPr>
          <w:ilvl w:val="0"/>
          <w:numId w:val="149"/>
        </w:numPr>
        <w:spacing w:after="240"/>
        <w:ind w:left="1134" w:right="306" w:hanging="425"/>
        <w:jc w:val="both"/>
      </w:pPr>
      <w:r w:rsidRPr="00400300">
        <w:t>Street &amp; Grounds £0.03</w:t>
      </w:r>
      <w:r w:rsidR="00C13C40">
        <w:t>3</w:t>
      </w:r>
      <w:r w:rsidRPr="00400300">
        <w:t>m:</w:t>
      </w:r>
      <w:r w:rsidRPr="00B60256">
        <w:t xml:space="preserve"> The adverse variance is due to the underachieved grounds maintenance S</w:t>
      </w:r>
      <w:r w:rsidR="007C16E0">
        <w:t xml:space="preserve">ervice </w:t>
      </w:r>
      <w:r w:rsidRPr="00B60256">
        <w:t>L</w:t>
      </w:r>
      <w:r w:rsidR="007C16E0">
        <w:t xml:space="preserve">evel of </w:t>
      </w:r>
      <w:r w:rsidRPr="00B60256">
        <w:t>A</w:t>
      </w:r>
      <w:r w:rsidR="007C16E0">
        <w:t>greement (SLA)</w:t>
      </w:r>
      <w:r w:rsidRPr="00B60256">
        <w:t xml:space="preserve"> income of £</w:t>
      </w:r>
      <w:r w:rsidR="008E2F0F">
        <w:t>0.0</w:t>
      </w:r>
      <w:r w:rsidRPr="00B60256">
        <w:t>94</w:t>
      </w:r>
      <w:r w:rsidR="008E2F0F">
        <w:t>m</w:t>
      </w:r>
      <w:r w:rsidRPr="00B60256">
        <w:t>, partly mitigated by an under</w:t>
      </w:r>
      <w:r w:rsidR="00622959">
        <w:t xml:space="preserve"> </w:t>
      </w:r>
      <w:r w:rsidRPr="00B60256">
        <w:t>spend in supplies &amp; services budget</w:t>
      </w:r>
      <w:r>
        <w:t>.</w:t>
      </w:r>
    </w:p>
    <w:p w:rsidR="00EA5E9C" w:rsidRDefault="00EA5E9C" w:rsidP="00400300">
      <w:pPr>
        <w:pStyle w:val="ListParagraph"/>
        <w:jc w:val="both"/>
      </w:pPr>
    </w:p>
    <w:p w:rsidR="00EA5E9C" w:rsidRDefault="00EA5E9C" w:rsidP="00957F91">
      <w:pPr>
        <w:pStyle w:val="ListParagraph"/>
        <w:numPr>
          <w:ilvl w:val="0"/>
          <w:numId w:val="149"/>
        </w:numPr>
        <w:spacing w:after="240"/>
        <w:ind w:left="1134" w:right="306" w:hanging="425"/>
        <w:jc w:val="both"/>
      </w:pPr>
      <w:r w:rsidRPr="00721A1F">
        <w:t>Divisional Director (£0.030m):</w:t>
      </w:r>
      <w:r w:rsidRPr="00B60256">
        <w:rPr>
          <w:b/>
        </w:rPr>
        <w:t xml:space="preserve"> </w:t>
      </w:r>
      <w:r w:rsidRPr="00B60256">
        <w:t>The favourable variance is due to an under</w:t>
      </w:r>
      <w:r>
        <w:t xml:space="preserve"> </w:t>
      </w:r>
      <w:r w:rsidRPr="00B60256">
        <w:t>spend in staff training and recruitment budget</w:t>
      </w:r>
      <w:r>
        <w:t>.</w:t>
      </w:r>
    </w:p>
    <w:p w:rsidR="00551889" w:rsidRDefault="00551889" w:rsidP="00400300">
      <w:pPr>
        <w:pStyle w:val="ListParagraph"/>
        <w:jc w:val="both"/>
      </w:pPr>
    </w:p>
    <w:p w:rsidR="00551889" w:rsidRPr="00551889" w:rsidRDefault="00551889" w:rsidP="00957F91">
      <w:pPr>
        <w:pStyle w:val="ListParagraph"/>
        <w:numPr>
          <w:ilvl w:val="0"/>
          <w:numId w:val="149"/>
        </w:numPr>
        <w:ind w:left="1134" w:hanging="425"/>
        <w:jc w:val="both"/>
      </w:pPr>
      <w:r w:rsidRPr="00EA5E9C">
        <w:t>Culture Service over spend by £0.11</w:t>
      </w:r>
      <w:r w:rsidR="00E869EC">
        <w:t>7</w:t>
      </w:r>
      <w:r w:rsidRPr="00EA5E9C">
        <w:t>m</w:t>
      </w:r>
      <w:r w:rsidRPr="00551889">
        <w:t>:</w:t>
      </w:r>
      <w:r w:rsidRPr="00551889">
        <w:rPr>
          <w:b/>
        </w:rPr>
        <w:t xml:space="preserve"> </w:t>
      </w:r>
      <w:r w:rsidRPr="00551889">
        <w:t xml:space="preserve"> This is due to the unachieved 2017/18 MTFS in relation to the redevelopment of Harrow Leisure Centre £0.100m and libraries budget shortfall. The Museum Service had an adverse variance of £0.049m due to income shortfall in facilities hire. The full year impact of the new charges implemented for all new bookings at the Great Barn since July 18 and a marketing strategy for the Great Barn developed and implemented during the year are expected to be realised in 2019/20. The adverse variance in the Museum Service is mitigated by an over achievement of income in Harrow Arts Centre and the Music Services.</w:t>
      </w:r>
    </w:p>
    <w:p w:rsidR="00551889" w:rsidRDefault="00551889" w:rsidP="00400300">
      <w:pPr>
        <w:pStyle w:val="ListParagraph"/>
        <w:spacing w:after="240"/>
        <w:ind w:left="851" w:right="306"/>
        <w:jc w:val="both"/>
      </w:pPr>
    </w:p>
    <w:p w:rsidR="00B60256" w:rsidRPr="007E5111" w:rsidRDefault="00B60256" w:rsidP="00957F91">
      <w:pPr>
        <w:pStyle w:val="ListParagraph"/>
        <w:numPr>
          <w:ilvl w:val="2"/>
          <w:numId w:val="170"/>
        </w:numPr>
        <w:spacing w:after="240"/>
        <w:ind w:right="306"/>
        <w:jc w:val="both"/>
        <w:rPr>
          <w:rFonts w:cs="Arial"/>
        </w:rPr>
      </w:pPr>
      <w:r w:rsidRPr="007E5111">
        <w:rPr>
          <w:rFonts w:cs="Arial"/>
          <w:szCs w:val="24"/>
          <w:lang w:eastAsia="ar-SA"/>
        </w:rPr>
        <w:t>There is an adverse variance of £0.6</w:t>
      </w:r>
      <w:r w:rsidR="00E869EC">
        <w:rPr>
          <w:rFonts w:cs="Arial"/>
          <w:szCs w:val="24"/>
          <w:lang w:eastAsia="ar-SA"/>
        </w:rPr>
        <w:t>57</w:t>
      </w:r>
      <w:r w:rsidRPr="007E5111">
        <w:rPr>
          <w:rFonts w:cs="Arial"/>
          <w:szCs w:val="24"/>
          <w:lang w:eastAsia="ar-SA"/>
        </w:rPr>
        <w:t xml:space="preserve">m in </w:t>
      </w:r>
      <w:r w:rsidRPr="007E5111">
        <w:rPr>
          <w:rFonts w:cs="Arial"/>
          <w:b/>
          <w:szCs w:val="24"/>
          <w:lang w:eastAsia="ar-SA"/>
        </w:rPr>
        <w:t>Commissioning &amp; Commercial Services</w:t>
      </w:r>
      <w:r w:rsidRPr="007E5111">
        <w:rPr>
          <w:rFonts w:cs="Arial"/>
          <w:szCs w:val="24"/>
          <w:lang w:eastAsia="ar-SA"/>
        </w:rPr>
        <w:t>, which is made-up of the followings:</w:t>
      </w:r>
    </w:p>
    <w:p w:rsidR="00622959" w:rsidRPr="00400300" w:rsidRDefault="00622959" w:rsidP="00400300">
      <w:pPr>
        <w:pStyle w:val="ListParagraph"/>
        <w:spacing w:after="240"/>
        <w:ind w:left="567" w:right="306"/>
        <w:jc w:val="both"/>
        <w:rPr>
          <w:rFonts w:cs="Arial"/>
        </w:rPr>
      </w:pPr>
    </w:p>
    <w:p w:rsidR="00B60256" w:rsidRDefault="007C16E0" w:rsidP="00957F91">
      <w:pPr>
        <w:pStyle w:val="ListParagraph"/>
        <w:numPr>
          <w:ilvl w:val="0"/>
          <w:numId w:val="150"/>
        </w:numPr>
        <w:spacing w:after="240"/>
        <w:ind w:left="1134" w:right="306" w:hanging="425"/>
        <w:jc w:val="both"/>
        <w:rPr>
          <w:rFonts w:cs="Arial"/>
        </w:rPr>
      </w:pPr>
      <w:r>
        <w:rPr>
          <w:rFonts w:cs="Arial"/>
        </w:rPr>
        <w:t>Business and</w:t>
      </w:r>
      <w:r w:rsidR="00622959" w:rsidRPr="00400300">
        <w:rPr>
          <w:rFonts w:cs="Arial"/>
        </w:rPr>
        <w:t xml:space="preserve"> Commercial £0.065m</w:t>
      </w:r>
      <w:r w:rsidR="00622959" w:rsidRPr="00622959">
        <w:rPr>
          <w:rFonts w:cs="Arial"/>
        </w:rPr>
        <w:t>: Overspend on third party payments for the delivery of commercial projects</w:t>
      </w:r>
      <w:r w:rsidR="00622959">
        <w:rPr>
          <w:rFonts w:cs="Arial"/>
        </w:rPr>
        <w:t>.</w:t>
      </w:r>
    </w:p>
    <w:p w:rsidR="00622959" w:rsidRDefault="00622959" w:rsidP="00400300">
      <w:pPr>
        <w:pStyle w:val="ListParagraph"/>
        <w:spacing w:after="240"/>
        <w:ind w:left="851" w:right="306"/>
        <w:jc w:val="both"/>
        <w:rPr>
          <w:rFonts w:cs="Arial"/>
        </w:rPr>
      </w:pPr>
    </w:p>
    <w:p w:rsidR="00622959" w:rsidRDefault="00622959" w:rsidP="00957F91">
      <w:pPr>
        <w:pStyle w:val="ListParagraph"/>
        <w:numPr>
          <w:ilvl w:val="0"/>
          <w:numId w:val="150"/>
        </w:numPr>
        <w:spacing w:after="240"/>
        <w:ind w:left="1134" w:right="306" w:hanging="425"/>
        <w:jc w:val="both"/>
        <w:rPr>
          <w:rFonts w:cs="Arial"/>
        </w:rPr>
      </w:pPr>
      <w:r w:rsidRPr="00400300">
        <w:rPr>
          <w:rFonts w:cs="Arial"/>
        </w:rPr>
        <w:t>Catering Services £0.141m</w:t>
      </w:r>
      <w:r w:rsidRPr="00622959">
        <w:rPr>
          <w:rFonts w:cs="Arial"/>
        </w:rPr>
        <w:t>: Underachievement of income of £</w:t>
      </w:r>
      <w:r w:rsidR="008E2F0F">
        <w:rPr>
          <w:rFonts w:cs="Arial"/>
        </w:rPr>
        <w:t>0.0</w:t>
      </w:r>
      <w:r w:rsidRPr="00622959">
        <w:rPr>
          <w:rFonts w:cs="Arial"/>
        </w:rPr>
        <w:t>13</w:t>
      </w:r>
      <w:r w:rsidR="008E2F0F">
        <w:rPr>
          <w:rFonts w:cs="Arial"/>
        </w:rPr>
        <w:t>m</w:t>
      </w:r>
      <w:r w:rsidRPr="00622959">
        <w:rPr>
          <w:rFonts w:cs="Arial"/>
        </w:rPr>
        <w:t xml:space="preserve"> and overspend on agency staff cost of £</w:t>
      </w:r>
      <w:r w:rsidR="008E2F0F">
        <w:rPr>
          <w:rFonts w:cs="Arial"/>
        </w:rPr>
        <w:t>0.</w:t>
      </w:r>
      <w:r w:rsidRPr="00622959">
        <w:rPr>
          <w:rFonts w:cs="Arial"/>
        </w:rPr>
        <w:t>109</w:t>
      </w:r>
      <w:r w:rsidR="008E2F0F">
        <w:rPr>
          <w:rFonts w:cs="Arial"/>
        </w:rPr>
        <w:t>m</w:t>
      </w:r>
      <w:r>
        <w:rPr>
          <w:rFonts w:cs="Arial"/>
        </w:rPr>
        <w:t>.</w:t>
      </w:r>
    </w:p>
    <w:p w:rsidR="00622959" w:rsidRPr="00BA760A" w:rsidRDefault="00622959" w:rsidP="00400300">
      <w:pPr>
        <w:pStyle w:val="ListParagraph"/>
        <w:jc w:val="both"/>
        <w:rPr>
          <w:rFonts w:cs="Arial"/>
        </w:rPr>
      </w:pPr>
    </w:p>
    <w:p w:rsidR="00622959" w:rsidRDefault="00716087" w:rsidP="00957F91">
      <w:pPr>
        <w:pStyle w:val="ListParagraph"/>
        <w:numPr>
          <w:ilvl w:val="0"/>
          <w:numId w:val="150"/>
        </w:numPr>
        <w:spacing w:after="240"/>
        <w:ind w:left="1134" w:right="306" w:hanging="425"/>
        <w:jc w:val="both"/>
        <w:rPr>
          <w:rFonts w:cs="Arial"/>
        </w:rPr>
      </w:pPr>
      <w:r w:rsidRPr="00716087">
        <w:rPr>
          <w:rFonts w:cs="Arial"/>
        </w:rPr>
        <w:t xml:space="preserve">Parking Services £0.193m: Overspend on staffing costs of £0.230m, due to one-off payment in relation to severance and the use of agency staff for sickness cover, is partially mitigated by </w:t>
      </w:r>
      <w:r w:rsidRPr="00950179">
        <w:rPr>
          <w:rFonts w:cs="Arial"/>
        </w:rPr>
        <w:t>a</w:t>
      </w:r>
      <w:r w:rsidR="00950179" w:rsidRPr="00950179">
        <w:rPr>
          <w:rFonts w:cs="Arial"/>
        </w:rPr>
        <w:t xml:space="preserve"> </w:t>
      </w:r>
      <w:r w:rsidR="00950179" w:rsidRPr="00950179">
        <w:rPr>
          <w:rFonts w:cs="Arial"/>
          <w:bCs/>
        </w:rPr>
        <w:t>higher than budget forecast</w:t>
      </w:r>
      <w:r w:rsidR="00950179" w:rsidRPr="00950179">
        <w:rPr>
          <w:rFonts w:cs="Arial"/>
          <w:b/>
          <w:bCs/>
        </w:rPr>
        <w:t xml:space="preserve"> </w:t>
      </w:r>
      <w:r w:rsidRPr="00716087">
        <w:rPr>
          <w:rFonts w:cs="Arial"/>
        </w:rPr>
        <w:t xml:space="preserve">  parking income of £0.037m</w:t>
      </w:r>
      <w:r w:rsidR="00622959">
        <w:rPr>
          <w:rFonts w:cs="Arial"/>
        </w:rPr>
        <w:t>.</w:t>
      </w:r>
    </w:p>
    <w:p w:rsidR="00622959" w:rsidRPr="00BA760A" w:rsidRDefault="00622959" w:rsidP="00400300">
      <w:pPr>
        <w:pStyle w:val="ListParagraph"/>
        <w:jc w:val="both"/>
        <w:rPr>
          <w:rFonts w:cs="Arial"/>
        </w:rPr>
      </w:pPr>
    </w:p>
    <w:p w:rsidR="00622959" w:rsidRPr="00D905F3" w:rsidRDefault="00622959" w:rsidP="00957F91">
      <w:pPr>
        <w:pStyle w:val="ListParagraph"/>
        <w:numPr>
          <w:ilvl w:val="0"/>
          <w:numId w:val="150"/>
        </w:numPr>
        <w:spacing w:after="240"/>
        <w:ind w:left="1134" w:right="306" w:hanging="425"/>
        <w:jc w:val="both"/>
        <w:rPr>
          <w:rFonts w:cs="Arial"/>
        </w:rPr>
      </w:pPr>
      <w:r w:rsidRPr="00400300">
        <w:rPr>
          <w:rFonts w:cs="Arial"/>
        </w:rPr>
        <w:t>Facilities Management £0.831m</w:t>
      </w:r>
      <w:r w:rsidRPr="00622959">
        <w:rPr>
          <w:rFonts w:cs="Arial"/>
        </w:rPr>
        <w:t>: Overspend on corporate cleaning and building maintenance budget of £</w:t>
      </w:r>
      <w:r w:rsidR="008E2F0F">
        <w:rPr>
          <w:rFonts w:cs="Arial"/>
        </w:rPr>
        <w:t>0.</w:t>
      </w:r>
      <w:r w:rsidRPr="00622959">
        <w:rPr>
          <w:rFonts w:cs="Arial"/>
        </w:rPr>
        <w:t>438</w:t>
      </w:r>
      <w:r w:rsidR="008E2F0F">
        <w:rPr>
          <w:rFonts w:cs="Arial"/>
        </w:rPr>
        <w:t>m</w:t>
      </w:r>
      <w:r w:rsidRPr="00622959">
        <w:rPr>
          <w:rFonts w:cs="Arial"/>
        </w:rPr>
        <w:t>, due partly to the impact of early termination of the cleaning contract that resulted in additional costs following the services returned in-</w:t>
      </w:r>
      <w:r w:rsidRPr="00D905F3">
        <w:rPr>
          <w:rFonts w:cs="Arial"/>
        </w:rPr>
        <w:t>house. Schools Cleaning SLA account</w:t>
      </w:r>
      <w:r w:rsidR="0019512E">
        <w:rPr>
          <w:rFonts w:cs="Arial"/>
        </w:rPr>
        <w:t>’s</w:t>
      </w:r>
      <w:r w:rsidR="007A288A" w:rsidRPr="007A288A">
        <w:rPr>
          <w:rFonts w:cs="Arial"/>
        </w:rPr>
        <w:t xml:space="preserve"> total adverse variance was £0.625m </w:t>
      </w:r>
      <w:r w:rsidR="007A288A">
        <w:rPr>
          <w:rFonts w:cs="Arial"/>
        </w:rPr>
        <w:t>which consists</w:t>
      </w:r>
      <w:r w:rsidR="00114B5A">
        <w:rPr>
          <w:rFonts w:cs="Arial"/>
        </w:rPr>
        <w:t xml:space="preserve"> of an</w:t>
      </w:r>
      <w:r w:rsidR="007A288A">
        <w:rPr>
          <w:rFonts w:cs="Arial"/>
        </w:rPr>
        <w:t xml:space="preserve"> unachievable income </w:t>
      </w:r>
      <w:r w:rsidR="00114B5A">
        <w:rPr>
          <w:rFonts w:cs="Arial"/>
        </w:rPr>
        <w:t>target of</w:t>
      </w:r>
      <w:r w:rsidR="007A288A">
        <w:rPr>
          <w:rFonts w:cs="Arial"/>
        </w:rPr>
        <w:t xml:space="preserve"> £0.305m and a </w:t>
      </w:r>
      <w:r w:rsidRPr="00D905F3">
        <w:rPr>
          <w:rFonts w:cs="Arial"/>
        </w:rPr>
        <w:t>deficit of £</w:t>
      </w:r>
      <w:r w:rsidR="008E2F0F" w:rsidRPr="00D905F3">
        <w:rPr>
          <w:rFonts w:cs="Arial"/>
        </w:rPr>
        <w:t>0.</w:t>
      </w:r>
      <w:r w:rsidRPr="00D905F3">
        <w:rPr>
          <w:rFonts w:cs="Arial"/>
        </w:rPr>
        <w:t>320</w:t>
      </w:r>
      <w:r w:rsidR="008E2F0F" w:rsidRPr="00D905F3">
        <w:rPr>
          <w:rFonts w:cs="Arial"/>
        </w:rPr>
        <w:t>m</w:t>
      </w:r>
      <w:r w:rsidR="007A288A">
        <w:rPr>
          <w:rFonts w:cs="Arial"/>
        </w:rPr>
        <w:t>.</w:t>
      </w:r>
      <w:r w:rsidRPr="00D905F3">
        <w:rPr>
          <w:rFonts w:cs="Arial"/>
        </w:rPr>
        <w:t xml:space="preserve"> These are partially offset by an over recovery of rent and underspend on premises related costs at the depot.</w:t>
      </w:r>
    </w:p>
    <w:p w:rsidR="00622959" w:rsidRPr="00BA760A" w:rsidRDefault="00622959" w:rsidP="00400300">
      <w:pPr>
        <w:pStyle w:val="ListParagraph"/>
        <w:jc w:val="both"/>
        <w:rPr>
          <w:rFonts w:cs="Arial"/>
        </w:rPr>
      </w:pPr>
    </w:p>
    <w:p w:rsidR="00622959" w:rsidRDefault="00622959" w:rsidP="00957F91">
      <w:pPr>
        <w:pStyle w:val="ListParagraph"/>
        <w:numPr>
          <w:ilvl w:val="0"/>
          <w:numId w:val="150"/>
        </w:numPr>
        <w:spacing w:after="240"/>
        <w:ind w:left="1134" w:right="306" w:hanging="425"/>
        <w:jc w:val="both"/>
        <w:rPr>
          <w:rFonts w:cs="Arial"/>
        </w:rPr>
      </w:pPr>
      <w:r w:rsidRPr="00400300">
        <w:rPr>
          <w:rFonts w:cs="Arial"/>
        </w:rPr>
        <w:t>Transport £0.081m</w:t>
      </w:r>
      <w:r w:rsidRPr="00622959">
        <w:rPr>
          <w:rFonts w:cs="Arial"/>
        </w:rPr>
        <w:t>: Unbudgeted third party payment relating to bus routes review and overspend on agency staff costs.</w:t>
      </w:r>
    </w:p>
    <w:p w:rsidR="00622959" w:rsidRPr="00BA760A" w:rsidRDefault="00622959" w:rsidP="00400300">
      <w:pPr>
        <w:pStyle w:val="ListParagraph"/>
        <w:jc w:val="both"/>
        <w:rPr>
          <w:rFonts w:cs="Arial"/>
        </w:rPr>
      </w:pPr>
    </w:p>
    <w:p w:rsidR="00622959" w:rsidRDefault="00622959" w:rsidP="00957F91">
      <w:pPr>
        <w:pStyle w:val="ListParagraph"/>
        <w:numPr>
          <w:ilvl w:val="0"/>
          <w:numId w:val="150"/>
        </w:numPr>
        <w:spacing w:after="240"/>
        <w:ind w:left="1134" w:right="306" w:hanging="425"/>
        <w:jc w:val="both"/>
        <w:rPr>
          <w:rFonts w:cs="Arial"/>
        </w:rPr>
      </w:pPr>
      <w:r w:rsidRPr="00622959">
        <w:rPr>
          <w:rFonts w:cs="Arial"/>
        </w:rPr>
        <w:t>These pressures are partly mitigated by an overachievement of income in Network Management for Street works Permit (£</w:t>
      </w:r>
      <w:r w:rsidR="008E2F0F">
        <w:rPr>
          <w:rFonts w:cs="Arial"/>
        </w:rPr>
        <w:t>0.</w:t>
      </w:r>
      <w:r w:rsidRPr="00622959">
        <w:rPr>
          <w:rFonts w:cs="Arial"/>
        </w:rPr>
        <w:t>177</w:t>
      </w:r>
      <w:r w:rsidR="008E2F0F">
        <w:rPr>
          <w:rFonts w:cs="Arial"/>
        </w:rPr>
        <w:t>m</w:t>
      </w:r>
      <w:r w:rsidRPr="00622959">
        <w:rPr>
          <w:rFonts w:cs="Arial"/>
        </w:rPr>
        <w:t>) and rent income in Corporate Estates (£</w:t>
      </w:r>
      <w:r w:rsidR="008E2F0F">
        <w:rPr>
          <w:rFonts w:cs="Arial"/>
        </w:rPr>
        <w:t>0.0</w:t>
      </w:r>
      <w:r w:rsidRPr="00622959">
        <w:rPr>
          <w:rFonts w:cs="Arial"/>
        </w:rPr>
        <w:t>44</w:t>
      </w:r>
      <w:r w:rsidR="008E2F0F">
        <w:rPr>
          <w:rFonts w:cs="Arial"/>
        </w:rPr>
        <w:t>m</w:t>
      </w:r>
      <w:r w:rsidRPr="00622959">
        <w:rPr>
          <w:rFonts w:cs="Arial"/>
        </w:rPr>
        <w:t>), underspend on staff costs in Community Engagement due mainly to vacant posts (£</w:t>
      </w:r>
      <w:r w:rsidR="008E2F0F">
        <w:rPr>
          <w:rFonts w:cs="Arial"/>
        </w:rPr>
        <w:t>0.116m</w:t>
      </w:r>
      <w:r w:rsidRPr="00622959">
        <w:rPr>
          <w:rFonts w:cs="Arial"/>
        </w:rPr>
        <w:t>), and the benefit of capitalisation of appropriate costs including Highway Improvement Works</w:t>
      </w:r>
      <w:r w:rsidR="00303617">
        <w:rPr>
          <w:rFonts w:cs="Arial"/>
        </w:rPr>
        <w:t xml:space="preserve"> </w:t>
      </w:r>
      <w:proofErr w:type="spellStart"/>
      <w:r w:rsidR="00303617">
        <w:rPr>
          <w:rFonts w:cs="Arial"/>
        </w:rPr>
        <w:t>cira</w:t>
      </w:r>
      <w:proofErr w:type="spellEnd"/>
      <w:r w:rsidR="00303617">
        <w:rPr>
          <w:rFonts w:cs="Arial"/>
        </w:rPr>
        <w:t xml:space="preserve"> (£0.3</w:t>
      </w:r>
      <w:r w:rsidR="00E869EC">
        <w:rPr>
          <w:rFonts w:cs="Arial"/>
        </w:rPr>
        <w:t>17</w:t>
      </w:r>
      <w:r w:rsidR="00303617">
        <w:rPr>
          <w:rFonts w:cs="Arial"/>
        </w:rPr>
        <w:t>m)</w:t>
      </w:r>
      <w:r w:rsidRPr="00622959">
        <w:rPr>
          <w:rFonts w:cs="Arial"/>
        </w:rPr>
        <w:t>.</w:t>
      </w:r>
    </w:p>
    <w:p w:rsidR="00C72837" w:rsidRPr="00C426AD" w:rsidRDefault="00C72837" w:rsidP="00400300">
      <w:pPr>
        <w:pStyle w:val="ListParagraph"/>
        <w:jc w:val="both"/>
        <w:rPr>
          <w:rFonts w:cs="Arial"/>
        </w:rPr>
      </w:pPr>
    </w:p>
    <w:p w:rsidR="007E5111" w:rsidRPr="00957F91" w:rsidRDefault="00622959" w:rsidP="00957F91">
      <w:pPr>
        <w:pStyle w:val="ListParagraph"/>
        <w:numPr>
          <w:ilvl w:val="0"/>
          <w:numId w:val="171"/>
        </w:numPr>
        <w:spacing w:after="240"/>
        <w:ind w:left="709" w:right="306" w:hanging="709"/>
        <w:jc w:val="both"/>
        <w:rPr>
          <w:rFonts w:cs="Arial"/>
        </w:rPr>
      </w:pPr>
      <w:r w:rsidRPr="00622959">
        <w:rPr>
          <w:rFonts w:cs="Arial"/>
          <w:bCs/>
          <w:szCs w:val="24"/>
          <w:lang w:eastAsia="ar-SA"/>
        </w:rPr>
        <w:t xml:space="preserve">There is a favourable variance </w:t>
      </w:r>
      <w:r w:rsidRPr="00DD06D1">
        <w:rPr>
          <w:rFonts w:cs="Arial"/>
          <w:bCs/>
          <w:szCs w:val="24"/>
          <w:lang w:eastAsia="ar-SA"/>
        </w:rPr>
        <w:t xml:space="preserve">of </w:t>
      </w:r>
      <w:r w:rsidR="00303617" w:rsidRPr="00DD06D1">
        <w:rPr>
          <w:rFonts w:cs="Arial"/>
          <w:bCs/>
          <w:szCs w:val="24"/>
          <w:lang w:eastAsia="ar-SA"/>
        </w:rPr>
        <w:t>(</w:t>
      </w:r>
      <w:r w:rsidRPr="00DD06D1">
        <w:rPr>
          <w:rFonts w:cs="Arial"/>
          <w:bCs/>
          <w:szCs w:val="24"/>
          <w:lang w:eastAsia="ar-SA"/>
        </w:rPr>
        <w:t>£0.159m</w:t>
      </w:r>
      <w:r w:rsidR="00303617" w:rsidRPr="00DD06D1">
        <w:rPr>
          <w:rFonts w:cs="Arial"/>
          <w:bCs/>
          <w:szCs w:val="24"/>
          <w:lang w:eastAsia="ar-SA"/>
        </w:rPr>
        <w:t>)</w:t>
      </w:r>
      <w:r w:rsidRPr="00DD06D1">
        <w:rPr>
          <w:rFonts w:cs="Arial"/>
          <w:bCs/>
          <w:szCs w:val="24"/>
          <w:lang w:eastAsia="ar-SA"/>
        </w:rPr>
        <w:t xml:space="preserve"> in </w:t>
      </w:r>
      <w:r w:rsidRPr="00DD06D1">
        <w:rPr>
          <w:rFonts w:cs="Arial"/>
          <w:b/>
          <w:bCs/>
          <w:szCs w:val="24"/>
          <w:lang w:eastAsia="ar-SA"/>
        </w:rPr>
        <w:t>Regeneration, Enterprise and Planning</w:t>
      </w:r>
      <w:r w:rsidRPr="00DD06D1">
        <w:rPr>
          <w:rFonts w:cs="Arial"/>
          <w:szCs w:val="24"/>
          <w:lang w:eastAsia="ar-SA"/>
        </w:rPr>
        <w:t xml:space="preserve">, attributable to </w:t>
      </w:r>
      <w:r w:rsidR="00482AD8">
        <w:rPr>
          <w:rFonts w:cs="Arial"/>
          <w:szCs w:val="24"/>
          <w:lang w:eastAsia="ar-SA"/>
        </w:rPr>
        <w:t>an under spend on staffing</w:t>
      </w:r>
      <w:r w:rsidRPr="00622959">
        <w:rPr>
          <w:rFonts w:cs="Arial"/>
          <w:szCs w:val="24"/>
          <w:lang w:eastAsia="ar-SA"/>
        </w:rPr>
        <w:t xml:space="preserve"> and a net overachievement of planning income</w:t>
      </w:r>
      <w:r w:rsidR="00110827">
        <w:rPr>
          <w:rFonts w:cs="Arial"/>
          <w:szCs w:val="24"/>
          <w:lang w:eastAsia="ar-SA"/>
        </w:rPr>
        <w:t>.</w:t>
      </w:r>
    </w:p>
    <w:p w:rsidR="007E5111" w:rsidRPr="00957F91" w:rsidRDefault="007E5111" w:rsidP="00957F91">
      <w:pPr>
        <w:pStyle w:val="ListParagraph"/>
        <w:spacing w:after="240"/>
        <w:ind w:left="709" w:right="306"/>
        <w:jc w:val="both"/>
        <w:rPr>
          <w:rFonts w:cs="Arial"/>
        </w:rPr>
      </w:pPr>
    </w:p>
    <w:p w:rsidR="00622959" w:rsidRPr="00400300" w:rsidRDefault="007E5111" w:rsidP="00957F91">
      <w:pPr>
        <w:pStyle w:val="ListParagraph"/>
        <w:numPr>
          <w:ilvl w:val="0"/>
          <w:numId w:val="171"/>
        </w:numPr>
        <w:spacing w:after="240"/>
        <w:ind w:left="709" w:right="306" w:hanging="709"/>
        <w:jc w:val="both"/>
        <w:rPr>
          <w:rFonts w:cs="Arial"/>
        </w:rPr>
      </w:pPr>
      <w:r w:rsidRPr="007E5111">
        <w:rPr>
          <w:rFonts w:cs="Arial"/>
          <w:szCs w:val="24"/>
          <w:lang w:eastAsia="ar-SA"/>
        </w:rPr>
        <w:t>The revenue costs of the Regeneration Programme (£1.282m) are funded from capacity already set aside and £1.7m of this capacity remains available for 2019/20</w:t>
      </w:r>
      <w:r>
        <w:rPr>
          <w:rFonts w:cs="Arial"/>
          <w:szCs w:val="24"/>
          <w:lang w:eastAsia="ar-SA"/>
        </w:rPr>
        <w:t>.</w:t>
      </w:r>
    </w:p>
    <w:p w:rsidR="00622959" w:rsidRPr="00400300" w:rsidRDefault="00622959" w:rsidP="00400300">
      <w:pPr>
        <w:pStyle w:val="ListParagraph"/>
        <w:spacing w:after="240"/>
        <w:ind w:left="567" w:right="306"/>
        <w:jc w:val="both"/>
        <w:rPr>
          <w:rFonts w:cs="Arial"/>
        </w:rPr>
      </w:pPr>
    </w:p>
    <w:p w:rsidR="00F105D7" w:rsidRDefault="00F105D7" w:rsidP="00957F91">
      <w:pPr>
        <w:pStyle w:val="ListParagraph"/>
        <w:numPr>
          <w:ilvl w:val="0"/>
          <w:numId w:val="171"/>
        </w:numPr>
        <w:spacing w:after="240"/>
        <w:ind w:left="709" w:right="306" w:hanging="709"/>
        <w:jc w:val="both"/>
        <w:rPr>
          <w:rFonts w:cs="Arial"/>
        </w:rPr>
      </w:pPr>
      <w:r w:rsidRPr="00400300">
        <w:rPr>
          <w:rFonts w:cs="Arial"/>
          <w:b/>
          <w:bCs/>
        </w:rPr>
        <w:t>Housing General Fund</w:t>
      </w:r>
      <w:r w:rsidRPr="00400300">
        <w:rPr>
          <w:rFonts w:cs="Arial"/>
          <w:b/>
        </w:rPr>
        <w:t xml:space="preserve"> </w:t>
      </w:r>
      <w:r w:rsidRPr="00400300">
        <w:rPr>
          <w:rFonts w:cs="Arial"/>
        </w:rPr>
        <w:t xml:space="preserve">shows an under spend of (£0.151m) due mainly to </w:t>
      </w:r>
      <w:r w:rsidR="00110827">
        <w:rPr>
          <w:rFonts w:cs="Arial"/>
        </w:rPr>
        <w:t xml:space="preserve">an </w:t>
      </w:r>
      <w:r w:rsidRPr="00400300">
        <w:rPr>
          <w:rFonts w:cs="Arial"/>
        </w:rPr>
        <w:t>over achievement of MTFS savings associated with the Property Acquisition Programme. As a result there has been no requirement to draw down on the Flexible Homelessness Support Grant for 2018</w:t>
      </w:r>
      <w:r w:rsidR="003200A4">
        <w:rPr>
          <w:rFonts w:cs="Arial"/>
        </w:rPr>
        <w:t>/</w:t>
      </w:r>
      <w:r w:rsidRPr="00400300">
        <w:rPr>
          <w:rFonts w:cs="Arial"/>
        </w:rPr>
        <w:t>19 which will be carried forward to 2019-20.</w:t>
      </w:r>
    </w:p>
    <w:p w:rsidR="007E5111" w:rsidRDefault="007E5111" w:rsidP="00957F91">
      <w:pPr>
        <w:pStyle w:val="ListParagraph"/>
        <w:spacing w:after="240"/>
        <w:ind w:left="567" w:right="306"/>
        <w:jc w:val="both"/>
        <w:rPr>
          <w:rFonts w:cs="Arial"/>
        </w:rPr>
      </w:pPr>
    </w:p>
    <w:p w:rsidR="007E5111" w:rsidRDefault="007E5111" w:rsidP="00957F91">
      <w:pPr>
        <w:pStyle w:val="ListParagraph"/>
        <w:numPr>
          <w:ilvl w:val="0"/>
          <w:numId w:val="171"/>
        </w:numPr>
        <w:spacing w:after="240"/>
        <w:ind w:left="709" w:right="306" w:hanging="709"/>
        <w:jc w:val="both"/>
        <w:rPr>
          <w:rFonts w:cs="Arial"/>
        </w:rPr>
      </w:pPr>
      <w:r w:rsidRPr="007E5111">
        <w:rPr>
          <w:rFonts w:cs="Arial"/>
        </w:rPr>
        <w:t>The recommended carry forward requests of £0.323m are set out in Appendix 1</w:t>
      </w:r>
      <w:r w:rsidR="00DD7BD4">
        <w:rPr>
          <w:rFonts w:cs="Arial"/>
        </w:rPr>
        <w:t>.</w:t>
      </w:r>
    </w:p>
    <w:p w:rsidR="00DD7BD4" w:rsidRPr="00DD7BD4" w:rsidRDefault="00DD7BD4" w:rsidP="00957F91">
      <w:pPr>
        <w:pStyle w:val="ListParagraph"/>
        <w:rPr>
          <w:rFonts w:cs="Arial"/>
        </w:rPr>
      </w:pPr>
    </w:p>
    <w:p w:rsidR="00DD7BD4" w:rsidRDefault="00DD7BD4" w:rsidP="00957F91">
      <w:pPr>
        <w:pStyle w:val="ListParagraph"/>
        <w:spacing w:after="240"/>
        <w:ind w:left="709" w:right="306"/>
        <w:jc w:val="both"/>
        <w:rPr>
          <w:rFonts w:cs="Arial"/>
        </w:rPr>
      </w:pPr>
    </w:p>
    <w:p w:rsidR="00DD7BD4" w:rsidRDefault="00DD7BD4" w:rsidP="00957F91">
      <w:pPr>
        <w:pStyle w:val="ListParagraph"/>
        <w:rPr>
          <w:rFonts w:cs="Arial"/>
          <w:b/>
        </w:rPr>
      </w:pPr>
      <w:r w:rsidRPr="00957F91">
        <w:rPr>
          <w:rFonts w:cs="Arial"/>
          <w:b/>
        </w:rPr>
        <w:t>People Services</w:t>
      </w:r>
    </w:p>
    <w:p w:rsidR="0016225A" w:rsidRPr="00957F91" w:rsidRDefault="0016225A" w:rsidP="00957F91">
      <w:pPr>
        <w:pStyle w:val="ListParagraph"/>
        <w:rPr>
          <w:rFonts w:cs="Arial"/>
          <w:b/>
        </w:rPr>
      </w:pPr>
    </w:p>
    <w:p w:rsidR="00DD7BD4" w:rsidRDefault="00DD7BD4" w:rsidP="00957F91">
      <w:pPr>
        <w:pStyle w:val="ListParagraph"/>
        <w:numPr>
          <w:ilvl w:val="0"/>
          <w:numId w:val="171"/>
        </w:numPr>
        <w:spacing w:after="240"/>
        <w:ind w:left="709" w:right="306" w:hanging="709"/>
        <w:jc w:val="both"/>
        <w:rPr>
          <w:rFonts w:cs="Arial"/>
        </w:rPr>
      </w:pPr>
      <w:r w:rsidRPr="00DD7BD4">
        <w:rPr>
          <w:rFonts w:cs="Arial"/>
        </w:rPr>
        <w:t xml:space="preserve">People Services is reporting a gross over spend of £2.796m after taking into consideration </w:t>
      </w:r>
      <w:r w:rsidR="00332480" w:rsidRPr="00DD7BD4">
        <w:rPr>
          <w:rFonts w:cs="Arial"/>
        </w:rPr>
        <w:t>a carry forward</w:t>
      </w:r>
      <w:r w:rsidRPr="00DD7BD4">
        <w:rPr>
          <w:rFonts w:cs="Arial"/>
        </w:rPr>
        <w:t xml:space="preserve"> of £0.143m.  This </w:t>
      </w:r>
      <w:r w:rsidR="0012492C" w:rsidRPr="00DD7BD4">
        <w:rPr>
          <w:rFonts w:cs="Arial"/>
        </w:rPr>
        <w:t>is reduced</w:t>
      </w:r>
      <w:r w:rsidRPr="00DD7BD4">
        <w:rPr>
          <w:rFonts w:cs="Arial"/>
        </w:rPr>
        <w:t xml:space="preserve"> to an over</w:t>
      </w:r>
      <w:r w:rsidR="0012492C">
        <w:rPr>
          <w:rFonts w:cs="Arial"/>
        </w:rPr>
        <w:t xml:space="preserve"> </w:t>
      </w:r>
      <w:r w:rsidRPr="00DD7BD4">
        <w:rPr>
          <w:rFonts w:cs="Arial"/>
        </w:rPr>
        <w:t>spend of £1.220m after one off Social Care grant income of £1.576m</w:t>
      </w:r>
      <w:r>
        <w:rPr>
          <w:rFonts w:cs="Arial"/>
        </w:rPr>
        <w:t>.</w:t>
      </w:r>
    </w:p>
    <w:p w:rsidR="00DD7BD4" w:rsidRPr="00DD7BD4" w:rsidRDefault="00DD7BD4" w:rsidP="00957F91">
      <w:pPr>
        <w:pStyle w:val="ListParagraph"/>
        <w:rPr>
          <w:rFonts w:cs="Arial"/>
        </w:rPr>
      </w:pPr>
    </w:p>
    <w:p w:rsidR="00DD7BD4" w:rsidRPr="00400300" w:rsidRDefault="00DD7BD4" w:rsidP="00957F91">
      <w:pPr>
        <w:pStyle w:val="ListParagraph"/>
        <w:numPr>
          <w:ilvl w:val="0"/>
          <w:numId w:val="171"/>
        </w:numPr>
        <w:spacing w:after="240"/>
        <w:ind w:left="709" w:right="306" w:hanging="709"/>
        <w:jc w:val="both"/>
        <w:rPr>
          <w:rFonts w:cs="Arial"/>
        </w:rPr>
      </w:pPr>
      <w:r w:rsidRPr="00DD7BD4">
        <w:rPr>
          <w:rFonts w:cs="Arial"/>
        </w:rPr>
        <w:lastRenderedPageBreak/>
        <w:t>The net over spend of £1.220m is made up of an over spend of £2.821m on Adults, an under spend of (£0.251m) on Public Health Service and an under spend of (£1.350m) in Children’s Services as detailed below</w:t>
      </w:r>
      <w:r>
        <w:rPr>
          <w:rFonts w:cs="Arial"/>
        </w:rPr>
        <w:t>.</w:t>
      </w:r>
    </w:p>
    <w:p w:rsidR="00B54A4A" w:rsidRPr="000B6FE9" w:rsidRDefault="00B54A4A" w:rsidP="000B6FE9">
      <w:pPr>
        <w:pStyle w:val="ListParagraph"/>
        <w:ind w:left="567" w:right="304"/>
        <w:jc w:val="both"/>
        <w:rPr>
          <w:rFonts w:cs="Arial"/>
          <w:b/>
        </w:rPr>
      </w:pPr>
    </w:p>
    <w:p w:rsidR="00BE5659" w:rsidRPr="00DD06D1" w:rsidRDefault="00DD7BD4" w:rsidP="00957F91">
      <w:pPr>
        <w:pStyle w:val="ListParagraph"/>
        <w:ind w:left="360" w:right="304" w:firstLine="207"/>
        <w:jc w:val="both"/>
        <w:rPr>
          <w:rFonts w:cs="Arial"/>
          <w:b/>
          <w:highlight w:val="yellow"/>
        </w:rPr>
      </w:pPr>
      <w:r>
        <w:rPr>
          <w:rFonts w:cs="Arial"/>
          <w:b/>
        </w:rPr>
        <w:t xml:space="preserve">  </w:t>
      </w:r>
      <w:r w:rsidR="00B54A4A" w:rsidRPr="00DD06D1">
        <w:rPr>
          <w:rFonts w:cs="Arial"/>
          <w:b/>
        </w:rPr>
        <w:t>Adult Services</w:t>
      </w:r>
    </w:p>
    <w:p w:rsidR="00B54A4A" w:rsidRDefault="00B54A4A" w:rsidP="00957F91">
      <w:pPr>
        <w:pStyle w:val="ListParagraph"/>
        <w:numPr>
          <w:ilvl w:val="0"/>
          <w:numId w:val="171"/>
        </w:numPr>
        <w:ind w:left="709" w:right="304" w:hanging="709"/>
        <w:jc w:val="both"/>
        <w:rPr>
          <w:rFonts w:cs="Arial"/>
        </w:rPr>
      </w:pPr>
      <w:r w:rsidRPr="00B54A4A">
        <w:rPr>
          <w:rFonts w:cs="Arial"/>
        </w:rPr>
        <w:t>Adult Services is reporting a</w:t>
      </w:r>
      <w:r w:rsidR="00AE12CB">
        <w:rPr>
          <w:rFonts w:cs="Arial"/>
        </w:rPr>
        <w:t xml:space="preserve"> </w:t>
      </w:r>
      <w:r w:rsidR="00DB1FB3">
        <w:rPr>
          <w:rFonts w:cs="Arial"/>
        </w:rPr>
        <w:t>gross</w:t>
      </w:r>
      <w:r w:rsidR="00045814">
        <w:rPr>
          <w:rFonts w:cs="Arial"/>
        </w:rPr>
        <w:t xml:space="preserve"> </w:t>
      </w:r>
      <w:r w:rsidRPr="00B54A4A">
        <w:rPr>
          <w:rFonts w:cs="Arial"/>
        </w:rPr>
        <w:t>over spend of £</w:t>
      </w:r>
      <w:r w:rsidR="00045814">
        <w:rPr>
          <w:rFonts w:cs="Arial"/>
        </w:rPr>
        <w:t>4.</w:t>
      </w:r>
      <w:r w:rsidR="00022BDA">
        <w:rPr>
          <w:rFonts w:cs="Arial"/>
        </w:rPr>
        <w:t>397</w:t>
      </w:r>
      <w:r w:rsidRPr="00B54A4A">
        <w:rPr>
          <w:rFonts w:cs="Arial"/>
        </w:rPr>
        <w:t>m</w:t>
      </w:r>
      <w:r w:rsidR="00045814">
        <w:rPr>
          <w:rFonts w:cs="Arial"/>
        </w:rPr>
        <w:t xml:space="preserve"> which is  reduced </w:t>
      </w:r>
      <w:r w:rsidR="000B6FE9">
        <w:rPr>
          <w:rFonts w:cs="Arial"/>
        </w:rPr>
        <w:t xml:space="preserve">to £2.821m after applying one off Social </w:t>
      </w:r>
      <w:r w:rsidR="00027113">
        <w:rPr>
          <w:rFonts w:cs="Arial"/>
        </w:rPr>
        <w:t xml:space="preserve">Care grant income of </w:t>
      </w:r>
      <w:r w:rsidR="00045814">
        <w:rPr>
          <w:rFonts w:cs="Arial"/>
        </w:rPr>
        <w:t xml:space="preserve"> </w:t>
      </w:r>
      <w:r w:rsidR="00BE47C2">
        <w:rPr>
          <w:rFonts w:cs="Arial"/>
        </w:rPr>
        <w:t>(</w:t>
      </w:r>
      <w:r w:rsidR="00045814">
        <w:rPr>
          <w:rFonts w:cs="Arial"/>
        </w:rPr>
        <w:t>£1.576m</w:t>
      </w:r>
      <w:r w:rsidR="00BE47C2">
        <w:rPr>
          <w:rFonts w:cs="Arial"/>
        </w:rPr>
        <w:t>)</w:t>
      </w:r>
      <w:r w:rsidR="00027113">
        <w:rPr>
          <w:rFonts w:cs="Arial"/>
        </w:rPr>
        <w:t>:</w:t>
      </w:r>
    </w:p>
    <w:p w:rsidR="006571C0" w:rsidRDefault="006571C0">
      <w:pPr>
        <w:pStyle w:val="ListParagraph"/>
        <w:ind w:left="567" w:right="304"/>
        <w:jc w:val="both"/>
        <w:rPr>
          <w:rFonts w:cs="Arial"/>
        </w:rPr>
      </w:pPr>
    </w:p>
    <w:p w:rsidR="00B54A4A" w:rsidRDefault="00B147AC" w:rsidP="00957F91">
      <w:pPr>
        <w:pStyle w:val="ListParagraph"/>
        <w:numPr>
          <w:ilvl w:val="0"/>
          <w:numId w:val="131"/>
        </w:numPr>
        <w:ind w:left="1134" w:hanging="425"/>
        <w:jc w:val="both"/>
      </w:pPr>
      <w:r>
        <w:t xml:space="preserve">There is an over spend of </w:t>
      </w:r>
      <w:r w:rsidR="00991001">
        <w:t>£</w:t>
      </w:r>
      <w:r w:rsidR="00B54A4A">
        <w:t>2.</w:t>
      </w:r>
      <w:r w:rsidR="00045814">
        <w:t>360</w:t>
      </w:r>
      <w:r w:rsidR="00B54A4A">
        <w:t xml:space="preserve">m </w:t>
      </w:r>
      <w:r w:rsidR="006022F9">
        <w:t>on</w:t>
      </w:r>
      <w:r w:rsidR="00AA62D7">
        <w:t xml:space="preserve"> </w:t>
      </w:r>
      <w:r w:rsidR="006022F9">
        <w:t>a</w:t>
      </w:r>
      <w:r w:rsidR="00B54A4A">
        <w:t xml:space="preserve">dult </w:t>
      </w:r>
      <w:r w:rsidR="006022F9">
        <w:t>s</w:t>
      </w:r>
      <w:r w:rsidR="00B54A4A">
        <w:t>oci</w:t>
      </w:r>
      <w:r w:rsidR="00AA62D7">
        <w:t>al</w:t>
      </w:r>
      <w:r w:rsidR="00B54A4A">
        <w:t xml:space="preserve"> </w:t>
      </w:r>
      <w:r w:rsidR="006022F9">
        <w:t>c</w:t>
      </w:r>
      <w:r w:rsidR="00B54A4A">
        <w:t>are</w:t>
      </w:r>
      <w:r>
        <w:t xml:space="preserve"> which is due to</w:t>
      </w:r>
      <w:r w:rsidR="00027113">
        <w:t>:</w:t>
      </w:r>
      <w:r>
        <w:t xml:space="preserve"> </w:t>
      </w:r>
    </w:p>
    <w:p w:rsidR="00B54A4A" w:rsidRDefault="00B54A4A">
      <w:pPr>
        <w:pStyle w:val="ListParagraph"/>
        <w:ind w:left="1440" w:hanging="731"/>
        <w:jc w:val="both"/>
      </w:pPr>
    </w:p>
    <w:p w:rsidR="00B54A4A" w:rsidRPr="00AA62D7" w:rsidRDefault="00E632EE">
      <w:pPr>
        <w:pStyle w:val="ListParagraph"/>
        <w:numPr>
          <w:ilvl w:val="0"/>
          <w:numId w:val="98"/>
        </w:numPr>
        <w:jc w:val="both"/>
      </w:pPr>
      <w:r w:rsidRPr="00AA62D7">
        <w:t xml:space="preserve">Adult placement cost over spend of </w:t>
      </w:r>
      <w:r w:rsidR="00F67E7C" w:rsidRPr="00AA62D7">
        <w:t>£3.838m</w:t>
      </w:r>
      <w:r w:rsidR="00027113">
        <w:t xml:space="preserve"> accounting for </w:t>
      </w:r>
      <w:r w:rsidR="00AA62D7" w:rsidRPr="00AA62D7">
        <w:t>increas</w:t>
      </w:r>
      <w:r w:rsidR="00AA62D7">
        <w:t xml:space="preserve">ed </w:t>
      </w:r>
      <w:r w:rsidR="00B54A4A" w:rsidRPr="00AA62D7">
        <w:t xml:space="preserve">complexities and </w:t>
      </w:r>
      <w:r w:rsidR="00027113">
        <w:t xml:space="preserve">an </w:t>
      </w:r>
      <w:r w:rsidR="00B54A4A" w:rsidRPr="00AA62D7">
        <w:t>increas</w:t>
      </w:r>
      <w:r w:rsidR="00AA62D7">
        <w:t>e</w:t>
      </w:r>
      <w:r w:rsidR="00B54A4A" w:rsidRPr="00AA62D7">
        <w:t xml:space="preserve"> in discharges from hospital into adult social care</w:t>
      </w:r>
      <w:r w:rsidR="001F4173" w:rsidRPr="00AA62D7">
        <w:t>.</w:t>
      </w:r>
    </w:p>
    <w:p w:rsidR="00EA439D" w:rsidRDefault="00EA439D">
      <w:pPr>
        <w:pStyle w:val="ListParagraph"/>
        <w:ind w:left="2160"/>
        <w:jc w:val="both"/>
      </w:pPr>
    </w:p>
    <w:p w:rsidR="00B54A4A" w:rsidRDefault="00B54A4A">
      <w:pPr>
        <w:pStyle w:val="ListParagraph"/>
        <w:numPr>
          <w:ilvl w:val="0"/>
          <w:numId w:val="98"/>
        </w:numPr>
        <w:jc w:val="both"/>
      </w:pPr>
      <w:r w:rsidRPr="004C3FC6">
        <w:t>£0.</w:t>
      </w:r>
      <w:r w:rsidR="001F4173">
        <w:t>098</w:t>
      </w:r>
      <w:r w:rsidR="00AA62D7" w:rsidRPr="004C3FC6">
        <w:t xml:space="preserve">m </w:t>
      </w:r>
      <w:r w:rsidR="00AA62D7">
        <w:t xml:space="preserve">is the </w:t>
      </w:r>
      <w:r w:rsidRPr="004C3FC6">
        <w:t>children and young adults with disabilities</w:t>
      </w:r>
      <w:r w:rsidR="00AA62D7">
        <w:t xml:space="preserve"> overspend</w:t>
      </w:r>
      <w:r>
        <w:t>.</w:t>
      </w:r>
    </w:p>
    <w:p w:rsidR="00EA439D" w:rsidRDefault="00EA439D" w:rsidP="00400300">
      <w:pPr>
        <w:pStyle w:val="ListParagraph"/>
        <w:jc w:val="both"/>
      </w:pPr>
    </w:p>
    <w:p w:rsidR="001F4173" w:rsidRPr="00CD1EEF" w:rsidRDefault="001F4173">
      <w:pPr>
        <w:pStyle w:val="ListParagraph"/>
        <w:numPr>
          <w:ilvl w:val="0"/>
          <w:numId w:val="98"/>
        </w:numPr>
        <w:jc w:val="both"/>
        <w:rPr>
          <w:rFonts w:cs="Arial"/>
          <w:sz w:val="22"/>
          <w:szCs w:val="22"/>
        </w:rPr>
      </w:pPr>
      <w:r w:rsidRPr="00CD1EEF">
        <w:rPr>
          <w:rFonts w:cs="Arial"/>
          <w:sz w:val="22"/>
          <w:szCs w:val="22"/>
        </w:rPr>
        <w:t xml:space="preserve">The over spend has been reduced by </w:t>
      </w:r>
      <w:r w:rsidR="00027113">
        <w:rPr>
          <w:rFonts w:cs="Arial"/>
          <w:sz w:val="22"/>
          <w:szCs w:val="22"/>
        </w:rPr>
        <w:t xml:space="preserve">one off grant income of </w:t>
      </w:r>
      <w:r w:rsidRPr="00CD1EEF">
        <w:rPr>
          <w:rFonts w:cs="Arial"/>
          <w:sz w:val="22"/>
          <w:szCs w:val="22"/>
        </w:rPr>
        <w:t>(£1.576m)</w:t>
      </w:r>
      <w:r w:rsidR="00027113">
        <w:rPr>
          <w:rFonts w:cs="Arial"/>
          <w:sz w:val="22"/>
          <w:szCs w:val="22"/>
        </w:rPr>
        <w:t xml:space="preserve">. </w:t>
      </w:r>
      <w:r w:rsidR="00F4514A">
        <w:rPr>
          <w:rFonts w:cs="Arial"/>
          <w:sz w:val="22"/>
          <w:szCs w:val="22"/>
        </w:rPr>
        <w:t xml:space="preserve"> </w:t>
      </w:r>
    </w:p>
    <w:p w:rsidR="00B54A4A" w:rsidRDefault="00B54A4A">
      <w:pPr>
        <w:pStyle w:val="ListParagraph"/>
        <w:ind w:left="2160"/>
        <w:jc w:val="both"/>
      </w:pPr>
    </w:p>
    <w:p w:rsidR="001F4173" w:rsidRPr="00AA62D7" w:rsidRDefault="00FF6707" w:rsidP="00957F91">
      <w:pPr>
        <w:pStyle w:val="ListParagraph"/>
        <w:ind w:left="1134" w:hanging="425"/>
        <w:jc w:val="both"/>
      </w:pPr>
      <w:r>
        <w:t>•</w:t>
      </w:r>
      <w:r>
        <w:tab/>
      </w:r>
      <w:r w:rsidR="001F4173" w:rsidRPr="00400300">
        <w:t>Other Adults</w:t>
      </w:r>
      <w:r w:rsidR="001F4173" w:rsidRPr="001F4173">
        <w:t xml:space="preserve"> – an over spend </w:t>
      </w:r>
      <w:r w:rsidR="001F4173" w:rsidRPr="00AA62D7">
        <w:t>of £</w:t>
      </w:r>
      <w:r w:rsidR="00976527" w:rsidRPr="00400300">
        <w:t>0.</w:t>
      </w:r>
      <w:r w:rsidR="001F4173" w:rsidRPr="00400300">
        <w:t>103</w:t>
      </w:r>
      <w:r w:rsidR="00976527" w:rsidRPr="00400300">
        <w:t>m</w:t>
      </w:r>
      <w:r w:rsidR="001F4173" w:rsidRPr="00400300">
        <w:t xml:space="preserve"> </w:t>
      </w:r>
      <w:r w:rsidR="00AA62D7" w:rsidRPr="00400300">
        <w:t>is due to the following;</w:t>
      </w:r>
    </w:p>
    <w:p w:rsidR="00F4514A" w:rsidRDefault="00F4514A">
      <w:pPr>
        <w:pStyle w:val="ListParagraph"/>
        <w:ind w:left="1440" w:hanging="720"/>
        <w:jc w:val="both"/>
      </w:pPr>
    </w:p>
    <w:p w:rsidR="001F4173" w:rsidRDefault="001F4173" w:rsidP="00400300">
      <w:pPr>
        <w:pStyle w:val="ListParagraph"/>
        <w:numPr>
          <w:ilvl w:val="0"/>
          <w:numId w:val="131"/>
        </w:numPr>
        <w:tabs>
          <w:tab w:val="left" w:pos="993"/>
        </w:tabs>
        <w:ind w:left="2127" w:hanging="284"/>
        <w:jc w:val="both"/>
      </w:pPr>
      <w:r w:rsidRPr="001F4173">
        <w:t>£</w:t>
      </w:r>
      <w:r w:rsidR="00976527">
        <w:t>0.</w:t>
      </w:r>
      <w:r w:rsidRPr="001F4173">
        <w:t>122</w:t>
      </w:r>
      <w:r w:rsidR="00976527">
        <w:t>m</w:t>
      </w:r>
      <w:r w:rsidRPr="001F4173">
        <w:t xml:space="preserve"> in relation to Mental Health services managed by Central North West London (CNWL</w:t>
      </w:r>
      <w:r>
        <w:t>).</w:t>
      </w:r>
    </w:p>
    <w:p w:rsidR="00976527" w:rsidRDefault="00976527" w:rsidP="00400300">
      <w:pPr>
        <w:pStyle w:val="ListParagraph"/>
        <w:tabs>
          <w:tab w:val="left" w:pos="993"/>
        </w:tabs>
        <w:ind w:left="2127"/>
        <w:jc w:val="both"/>
      </w:pPr>
    </w:p>
    <w:p w:rsidR="001F4173" w:rsidRDefault="001F4173" w:rsidP="00400300">
      <w:pPr>
        <w:pStyle w:val="ListParagraph"/>
        <w:numPr>
          <w:ilvl w:val="0"/>
          <w:numId w:val="131"/>
        </w:numPr>
        <w:ind w:left="2127" w:hanging="284"/>
        <w:jc w:val="both"/>
      </w:pPr>
      <w:r w:rsidRPr="001F4173">
        <w:t>Increased staffing costs of £</w:t>
      </w:r>
      <w:r w:rsidR="00976527">
        <w:t>0.0</w:t>
      </w:r>
      <w:r w:rsidRPr="001F4173">
        <w:t>72</w:t>
      </w:r>
      <w:r w:rsidR="00976527">
        <w:t>m</w:t>
      </w:r>
      <w:r w:rsidRPr="001F4173">
        <w:t xml:space="preserve"> as a result of transitioning to the new structure</w:t>
      </w:r>
      <w:r>
        <w:t>.</w:t>
      </w:r>
    </w:p>
    <w:p w:rsidR="00F4514A" w:rsidRDefault="00F4514A" w:rsidP="00400300">
      <w:pPr>
        <w:pStyle w:val="ListParagraph"/>
        <w:jc w:val="both"/>
      </w:pPr>
    </w:p>
    <w:p w:rsidR="00F4514A" w:rsidRDefault="00F4514A" w:rsidP="00400300">
      <w:pPr>
        <w:pStyle w:val="ListParagraph"/>
        <w:numPr>
          <w:ilvl w:val="0"/>
          <w:numId w:val="131"/>
        </w:numPr>
        <w:ind w:left="2127" w:hanging="284"/>
        <w:jc w:val="both"/>
      </w:pPr>
      <w:r>
        <w:t xml:space="preserve"> </w:t>
      </w:r>
      <w:r w:rsidRPr="001F4173">
        <w:t>£</w:t>
      </w:r>
      <w:r>
        <w:t>0.</w:t>
      </w:r>
      <w:r w:rsidRPr="001F4173">
        <w:t>123</w:t>
      </w:r>
      <w:r>
        <w:t>m</w:t>
      </w:r>
      <w:r w:rsidRPr="001F4173">
        <w:t xml:space="preserve"> </w:t>
      </w:r>
      <w:r w:rsidR="001B6E3A">
        <w:t>is due to c</w:t>
      </w:r>
      <w:r w:rsidRPr="001F4173">
        <w:t>ontractual arrangements in relation to mental health accommodation services</w:t>
      </w:r>
      <w:r w:rsidR="001B6E3A">
        <w:t>,</w:t>
      </w:r>
      <w:r w:rsidRPr="001F4173">
        <w:t xml:space="preserve"> including Look Ahead</w:t>
      </w:r>
      <w:r w:rsidR="001B6E3A">
        <w:t xml:space="preserve"> </w:t>
      </w:r>
      <w:r w:rsidR="0027550B">
        <w:t xml:space="preserve">of </w:t>
      </w:r>
      <w:r w:rsidR="0027550B" w:rsidRPr="001F4173">
        <w:t>£</w:t>
      </w:r>
      <w:r>
        <w:t>0.0</w:t>
      </w:r>
      <w:r w:rsidRPr="001F4173">
        <w:t>60</w:t>
      </w:r>
      <w:r>
        <w:t>m.</w:t>
      </w:r>
    </w:p>
    <w:p w:rsidR="00976527" w:rsidRDefault="00976527" w:rsidP="00400300">
      <w:pPr>
        <w:pStyle w:val="ListParagraph"/>
        <w:jc w:val="both"/>
      </w:pPr>
    </w:p>
    <w:p w:rsidR="001F4173" w:rsidRDefault="001F4173" w:rsidP="00400300">
      <w:pPr>
        <w:pStyle w:val="ListParagraph"/>
        <w:numPr>
          <w:ilvl w:val="0"/>
          <w:numId w:val="131"/>
        </w:numPr>
        <w:ind w:left="2127" w:hanging="284"/>
        <w:jc w:val="both"/>
      </w:pPr>
      <w:r w:rsidRPr="001F4173">
        <w:t>A lower level of equipment charged to revenue</w:t>
      </w:r>
      <w:r w:rsidR="00976527">
        <w:t xml:space="preserve"> </w:t>
      </w:r>
      <w:r w:rsidRPr="001F4173">
        <w:t>(£</w:t>
      </w:r>
      <w:r w:rsidR="00976527">
        <w:t>0.214m</w:t>
      </w:r>
      <w:r w:rsidRPr="001F4173">
        <w:t>) resulting in an under</w:t>
      </w:r>
      <w:r w:rsidR="00976527">
        <w:t xml:space="preserve"> </w:t>
      </w:r>
      <w:r w:rsidRPr="001F4173">
        <w:t>spend</w:t>
      </w:r>
      <w:r>
        <w:t>.</w:t>
      </w:r>
    </w:p>
    <w:p w:rsidR="00022BDA" w:rsidRDefault="00022BDA" w:rsidP="00400300">
      <w:pPr>
        <w:pStyle w:val="ListParagraph"/>
        <w:jc w:val="both"/>
      </w:pPr>
    </w:p>
    <w:p w:rsidR="00022BDA" w:rsidRDefault="00022BDA" w:rsidP="00957F91">
      <w:pPr>
        <w:pStyle w:val="ListParagraph"/>
        <w:ind w:left="1134" w:hanging="425"/>
        <w:jc w:val="both"/>
      </w:pPr>
      <w:r>
        <w:t>•</w:t>
      </w:r>
      <w:r>
        <w:tab/>
      </w:r>
      <w:r w:rsidRPr="00400300">
        <w:t>Strategic Management</w:t>
      </w:r>
      <w:r w:rsidRPr="001F4173">
        <w:t xml:space="preserve"> – an over</w:t>
      </w:r>
      <w:r>
        <w:t xml:space="preserve"> </w:t>
      </w:r>
      <w:r w:rsidRPr="001F4173">
        <w:t xml:space="preserve">spend of </w:t>
      </w:r>
      <w:r w:rsidRPr="00957F91">
        <w:t>£0.383m</w:t>
      </w:r>
      <w:r w:rsidRPr="001F4173">
        <w:t xml:space="preserve"> - This variation represents costs in relation to transformation projects not drawn down from the transformation reserve</w:t>
      </w:r>
      <w:r>
        <w:t>.</w:t>
      </w:r>
    </w:p>
    <w:p w:rsidR="00B54A4A" w:rsidRDefault="00B54A4A">
      <w:pPr>
        <w:pStyle w:val="ListParagraph"/>
        <w:jc w:val="both"/>
      </w:pPr>
    </w:p>
    <w:p w:rsidR="001F4173" w:rsidRDefault="00B54A4A" w:rsidP="00957F91">
      <w:pPr>
        <w:pStyle w:val="ListParagraph"/>
        <w:ind w:left="1134" w:hanging="414"/>
        <w:jc w:val="both"/>
      </w:pPr>
      <w:r>
        <w:t>•</w:t>
      </w:r>
      <w:r>
        <w:tab/>
      </w:r>
      <w:r w:rsidR="001F4173" w:rsidRPr="00400300">
        <w:t>In-house provisions</w:t>
      </w:r>
      <w:r w:rsidR="001F4173" w:rsidRPr="001F4173">
        <w:rPr>
          <w:b/>
        </w:rPr>
        <w:t xml:space="preserve"> </w:t>
      </w:r>
      <w:r w:rsidR="001F4173" w:rsidRPr="001F4173">
        <w:t>are underspent by (£</w:t>
      </w:r>
      <w:r w:rsidR="00976527">
        <w:t>0.02</w:t>
      </w:r>
      <w:r w:rsidR="00CC7109">
        <w:t>4</w:t>
      </w:r>
      <w:r w:rsidR="00976527">
        <w:t>m</w:t>
      </w:r>
      <w:r w:rsidR="001B6E3A">
        <w:t>)</w:t>
      </w:r>
      <w:r w:rsidR="001F4173">
        <w:t>.</w:t>
      </w:r>
    </w:p>
    <w:p w:rsidR="00B5430C" w:rsidRDefault="00B5430C">
      <w:pPr>
        <w:pStyle w:val="ListParagraph"/>
        <w:suppressAutoHyphens/>
        <w:ind w:left="360"/>
        <w:jc w:val="both"/>
      </w:pPr>
    </w:p>
    <w:p w:rsidR="00FD1CFF" w:rsidRDefault="002F6A2F" w:rsidP="00957F91">
      <w:pPr>
        <w:pStyle w:val="ListParagraph"/>
        <w:ind w:left="709" w:right="304"/>
        <w:jc w:val="both"/>
        <w:rPr>
          <w:rFonts w:cs="Arial"/>
        </w:rPr>
      </w:pPr>
      <w:r w:rsidRPr="002F6A2F">
        <w:rPr>
          <w:rFonts w:eastAsia="Calibri" w:cs="Arial"/>
          <w:b/>
          <w:szCs w:val="24"/>
        </w:rPr>
        <w:t>Children’s Services</w:t>
      </w:r>
    </w:p>
    <w:p w:rsidR="00FD1CFF" w:rsidRDefault="00FD1CFF" w:rsidP="00957F91">
      <w:pPr>
        <w:pStyle w:val="ListParagraph"/>
        <w:numPr>
          <w:ilvl w:val="0"/>
          <w:numId w:val="171"/>
        </w:numPr>
        <w:ind w:left="709" w:right="304" w:hanging="709"/>
        <w:jc w:val="both"/>
        <w:rPr>
          <w:rFonts w:cs="Arial"/>
        </w:rPr>
      </w:pPr>
      <w:r w:rsidRPr="00FD1CFF">
        <w:rPr>
          <w:rFonts w:cs="Arial"/>
        </w:rPr>
        <w:t>The under s</w:t>
      </w:r>
      <w:r w:rsidR="00251CE7">
        <w:rPr>
          <w:rFonts w:cs="Arial"/>
        </w:rPr>
        <w:t>pend for the division is (£1.350</w:t>
      </w:r>
      <w:r w:rsidRPr="00FD1CFF">
        <w:rPr>
          <w:rFonts w:cs="Arial"/>
        </w:rPr>
        <w:t>m), after accounti</w:t>
      </w:r>
      <w:r w:rsidR="006329A2">
        <w:rPr>
          <w:rFonts w:cs="Arial"/>
        </w:rPr>
        <w:t>ng for a carry forward of £0.143</w:t>
      </w:r>
      <w:r w:rsidR="001D0518">
        <w:rPr>
          <w:rFonts w:cs="Arial"/>
        </w:rPr>
        <w:t>m. Of this (£1.350</w:t>
      </w:r>
      <w:r w:rsidRPr="00FD1CFF">
        <w:rPr>
          <w:rFonts w:cs="Arial"/>
        </w:rPr>
        <w:t>m) under spend, £0.450m was already earmarked to contribute to</w:t>
      </w:r>
      <w:r w:rsidR="0080403C">
        <w:rPr>
          <w:rFonts w:cs="Arial"/>
        </w:rPr>
        <w:t>wards</w:t>
      </w:r>
      <w:r w:rsidRPr="00FD1CFF">
        <w:rPr>
          <w:rFonts w:cs="Arial"/>
        </w:rPr>
        <w:t xml:space="preserve"> corporate management actions</w:t>
      </w:r>
      <w:r>
        <w:rPr>
          <w:rFonts w:cs="Arial"/>
        </w:rPr>
        <w:t>.</w:t>
      </w:r>
    </w:p>
    <w:p w:rsidR="00FD1CFF" w:rsidRPr="00C426AD" w:rsidRDefault="00FD1CFF" w:rsidP="00400300">
      <w:pPr>
        <w:pStyle w:val="ListParagraph"/>
        <w:jc w:val="both"/>
        <w:rPr>
          <w:rFonts w:cs="Arial"/>
        </w:rPr>
      </w:pPr>
    </w:p>
    <w:p w:rsidR="00FD1CFF" w:rsidRDefault="00FD1CFF" w:rsidP="00957F91">
      <w:pPr>
        <w:pStyle w:val="ListParagraph"/>
        <w:numPr>
          <w:ilvl w:val="0"/>
          <w:numId w:val="171"/>
        </w:numPr>
        <w:ind w:left="709" w:right="304" w:hanging="709"/>
        <w:jc w:val="both"/>
        <w:rPr>
          <w:rFonts w:cs="Arial"/>
        </w:rPr>
      </w:pPr>
      <w:r>
        <w:rPr>
          <w:rFonts w:cs="Arial"/>
        </w:rPr>
        <w:t xml:space="preserve">The main variances in </w:t>
      </w:r>
      <w:r w:rsidR="0080403C">
        <w:rPr>
          <w:rFonts w:cs="Arial"/>
        </w:rPr>
        <w:t xml:space="preserve">the </w:t>
      </w:r>
      <w:r>
        <w:rPr>
          <w:rFonts w:cs="Arial"/>
        </w:rPr>
        <w:t>2018/</w:t>
      </w:r>
      <w:r w:rsidRPr="00FD1CFF">
        <w:rPr>
          <w:rFonts w:cs="Arial"/>
        </w:rPr>
        <w:t>19</w:t>
      </w:r>
      <w:r>
        <w:rPr>
          <w:rFonts w:cs="Arial"/>
        </w:rPr>
        <w:t xml:space="preserve"> Children</w:t>
      </w:r>
      <w:r w:rsidR="0080403C">
        <w:rPr>
          <w:rFonts w:cs="Arial"/>
        </w:rPr>
        <w:t>’s</w:t>
      </w:r>
      <w:r>
        <w:rPr>
          <w:rFonts w:cs="Arial"/>
        </w:rPr>
        <w:t xml:space="preserve"> services</w:t>
      </w:r>
      <w:r w:rsidR="0080403C">
        <w:rPr>
          <w:rFonts w:cs="Arial"/>
        </w:rPr>
        <w:t xml:space="preserve"> outturn</w:t>
      </w:r>
      <w:r>
        <w:rPr>
          <w:rFonts w:cs="Arial"/>
        </w:rPr>
        <w:t xml:space="preserve"> </w:t>
      </w:r>
      <w:r w:rsidR="0080403C">
        <w:rPr>
          <w:rFonts w:cs="Arial"/>
        </w:rPr>
        <w:t>are</w:t>
      </w:r>
      <w:r>
        <w:rPr>
          <w:rFonts w:cs="Arial"/>
        </w:rPr>
        <w:t xml:space="preserve"> listed </w:t>
      </w:r>
      <w:r w:rsidR="0080403C">
        <w:rPr>
          <w:rFonts w:cs="Arial"/>
        </w:rPr>
        <w:t>in</w:t>
      </w:r>
      <w:r>
        <w:rPr>
          <w:rFonts w:cs="Arial"/>
        </w:rPr>
        <w:t xml:space="preserve"> table 2 below:</w:t>
      </w:r>
    </w:p>
    <w:p w:rsidR="00FD1CFF" w:rsidRDefault="00FD1CFF" w:rsidP="00400300">
      <w:pPr>
        <w:pStyle w:val="ListParagraph"/>
        <w:ind w:left="567" w:right="304"/>
        <w:jc w:val="both"/>
        <w:rPr>
          <w:rFonts w:cs="Arial"/>
        </w:rPr>
      </w:pPr>
    </w:p>
    <w:p w:rsidR="004B71E6" w:rsidRDefault="004B71E6" w:rsidP="00400300">
      <w:pPr>
        <w:pStyle w:val="ListParagraph"/>
        <w:ind w:left="567" w:right="304"/>
        <w:jc w:val="both"/>
        <w:rPr>
          <w:rFonts w:cs="Arial"/>
        </w:rPr>
      </w:pPr>
    </w:p>
    <w:p w:rsidR="004B71E6" w:rsidRDefault="004B71E6" w:rsidP="00400300">
      <w:pPr>
        <w:pStyle w:val="ListParagraph"/>
        <w:ind w:left="567" w:right="304"/>
        <w:jc w:val="both"/>
        <w:rPr>
          <w:rFonts w:cs="Arial"/>
        </w:rPr>
      </w:pPr>
    </w:p>
    <w:p w:rsidR="004B71E6" w:rsidRDefault="004B71E6" w:rsidP="00400300">
      <w:pPr>
        <w:pStyle w:val="ListParagraph"/>
        <w:ind w:left="567" w:right="304"/>
        <w:jc w:val="both"/>
        <w:rPr>
          <w:rFonts w:cs="Arial"/>
        </w:rPr>
      </w:pPr>
    </w:p>
    <w:p w:rsidR="004B71E6" w:rsidRDefault="004B71E6" w:rsidP="00400300">
      <w:pPr>
        <w:pStyle w:val="ListParagraph"/>
        <w:ind w:left="567" w:right="304"/>
        <w:jc w:val="both"/>
        <w:rPr>
          <w:rFonts w:cs="Arial"/>
        </w:rPr>
      </w:pPr>
    </w:p>
    <w:p w:rsidR="004B71E6" w:rsidRDefault="004B71E6" w:rsidP="00400300">
      <w:pPr>
        <w:pStyle w:val="ListParagraph"/>
        <w:ind w:left="567" w:right="304"/>
        <w:jc w:val="both"/>
        <w:rPr>
          <w:rFonts w:cs="Arial"/>
        </w:rPr>
      </w:pPr>
    </w:p>
    <w:p w:rsidR="004B71E6" w:rsidRDefault="004B71E6" w:rsidP="00400300">
      <w:pPr>
        <w:pStyle w:val="ListParagraph"/>
        <w:ind w:left="567" w:right="304"/>
        <w:jc w:val="both"/>
        <w:rPr>
          <w:rFonts w:cs="Arial"/>
        </w:rPr>
      </w:pPr>
    </w:p>
    <w:p w:rsidR="004B71E6" w:rsidRDefault="004B71E6" w:rsidP="00957F91">
      <w:pPr>
        <w:ind w:left="709"/>
        <w:jc w:val="both"/>
        <w:rPr>
          <w:rFonts w:cs="Arial"/>
          <w:b/>
          <w:u w:val="single"/>
        </w:rPr>
      </w:pPr>
    </w:p>
    <w:p w:rsidR="00FD1CFF" w:rsidRPr="00400300" w:rsidRDefault="00FD1CFF" w:rsidP="00957F91">
      <w:pPr>
        <w:ind w:left="709"/>
        <w:jc w:val="both"/>
        <w:rPr>
          <w:rFonts w:cs="Arial"/>
          <w:b/>
          <w:u w:val="single"/>
        </w:rPr>
      </w:pPr>
      <w:r w:rsidRPr="00400300">
        <w:rPr>
          <w:rFonts w:cs="Arial"/>
          <w:b/>
          <w:u w:val="single"/>
        </w:rPr>
        <w:t>Table 2</w:t>
      </w:r>
      <w:r>
        <w:rPr>
          <w:rFonts w:cs="Arial"/>
          <w:b/>
          <w:u w:val="single"/>
        </w:rPr>
        <w:t>:</w:t>
      </w:r>
      <w:r w:rsidRPr="00400300">
        <w:rPr>
          <w:rFonts w:cs="Arial"/>
          <w:b/>
          <w:u w:val="single"/>
        </w:rPr>
        <w:t xml:space="preserve"> Children’s Services Variance</w:t>
      </w:r>
    </w:p>
    <w:p w:rsidR="00FD1CFF" w:rsidRPr="00DD7BD4" w:rsidRDefault="00DD7BD4" w:rsidP="00957F91">
      <w:pPr>
        <w:ind w:right="304"/>
        <w:jc w:val="both"/>
        <w:rPr>
          <w:rFonts w:cs="Arial"/>
        </w:rPr>
      </w:pPr>
      <w:r>
        <w:rPr>
          <w:rFonts w:cs="Arial"/>
        </w:rPr>
        <w:tab/>
      </w:r>
      <w:r>
        <w:rPr>
          <w:rFonts w:cs="Arial"/>
          <w:noProof/>
          <w:lang w:eastAsia="en-GB"/>
        </w:rPr>
        <w:drawing>
          <wp:inline distT="0" distB="0" distL="0" distR="0" wp14:anchorId="28284B8C" wp14:editId="2CE6FC52">
            <wp:extent cx="4860000" cy="234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501" cy="2345993"/>
                    </a:xfrm>
                    <a:prstGeom prst="rect">
                      <a:avLst/>
                    </a:prstGeom>
                    <a:noFill/>
                  </pic:spPr>
                </pic:pic>
              </a:graphicData>
            </a:graphic>
          </wp:inline>
        </w:drawing>
      </w:r>
    </w:p>
    <w:p w:rsidR="00494530" w:rsidRDefault="00494530">
      <w:pPr>
        <w:pStyle w:val="ListParagraph"/>
        <w:ind w:left="567" w:right="304"/>
        <w:jc w:val="both"/>
        <w:rPr>
          <w:rFonts w:cs="Arial"/>
        </w:rPr>
      </w:pPr>
    </w:p>
    <w:p w:rsidR="002F6A2F" w:rsidRPr="002F6A2F" w:rsidRDefault="00F6546F" w:rsidP="00957F91">
      <w:pPr>
        <w:pStyle w:val="ListParagraph"/>
        <w:numPr>
          <w:ilvl w:val="0"/>
          <w:numId w:val="171"/>
        </w:numPr>
        <w:suppressAutoHyphens/>
        <w:ind w:left="709" w:hanging="709"/>
        <w:jc w:val="both"/>
        <w:rPr>
          <w:rFonts w:cs="Arial"/>
          <w:szCs w:val="24"/>
          <w:lang w:eastAsia="ar-SA"/>
        </w:rPr>
      </w:pPr>
      <w:r>
        <w:rPr>
          <w:rFonts w:cs="Arial"/>
          <w:szCs w:val="24"/>
          <w:lang w:eastAsia="ar-SA"/>
        </w:rPr>
        <w:t>T</w:t>
      </w:r>
      <w:r w:rsidR="00FD1CFF">
        <w:rPr>
          <w:rFonts w:cs="Arial"/>
          <w:szCs w:val="24"/>
          <w:lang w:eastAsia="ar-SA"/>
        </w:rPr>
        <w:t>he</w:t>
      </w:r>
      <w:r w:rsidR="002F6A2F" w:rsidRPr="002F6A2F">
        <w:rPr>
          <w:rFonts w:cs="Arial"/>
          <w:szCs w:val="24"/>
          <w:lang w:eastAsia="ar-SA"/>
        </w:rPr>
        <w:t xml:space="preserve"> main areas of </w:t>
      </w:r>
      <w:r w:rsidR="00424192">
        <w:rPr>
          <w:rFonts w:cs="Arial"/>
          <w:szCs w:val="24"/>
          <w:lang w:eastAsia="ar-SA"/>
        </w:rPr>
        <w:t>under</w:t>
      </w:r>
      <w:r w:rsidR="002F6A2F" w:rsidRPr="002F6A2F">
        <w:rPr>
          <w:rFonts w:cs="Arial"/>
          <w:szCs w:val="24"/>
          <w:lang w:eastAsia="ar-SA"/>
        </w:rPr>
        <w:t xml:space="preserve"> spend are</w:t>
      </w:r>
      <w:r w:rsidR="0080403C">
        <w:rPr>
          <w:rFonts w:cs="Arial"/>
          <w:szCs w:val="24"/>
          <w:lang w:eastAsia="ar-SA"/>
        </w:rPr>
        <w:t>:</w:t>
      </w:r>
    </w:p>
    <w:p w:rsidR="002F6A2F" w:rsidRPr="002F6A2F" w:rsidRDefault="002F6A2F">
      <w:pPr>
        <w:pStyle w:val="ListParagraph"/>
        <w:suppressAutoHyphens/>
        <w:ind w:left="360"/>
        <w:jc w:val="both"/>
        <w:rPr>
          <w:rFonts w:cs="Arial"/>
          <w:szCs w:val="24"/>
          <w:highlight w:val="yellow"/>
          <w:lang w:eastAsia="ar-SA"/>
        </w:rPr>
      </w:pPr>
    </w:p>
    <w:p w:rsidR="00B5430C" w:rsidRDefault="008A691B" w:rsidP="00C74989">
      <w:pPr>
        <w:numPr>
          <w:ilvl w:val="0"/>
          <w:numId w:val="24"/>
        </w:numPr>
        <w:suppressAutoHyphens/>
        <w:ind w:left="1134" w:hanging="425"/>
        <w:jc w:val="both"/>
        <w:rPr>
          <w:rFonts w:cs="Arial"/>
          <w:b/>
          <w:szCs w:val="24"/>
          <w:lang w:eastAsia="ar-SA"/>
        </w:rPr>
      </w:pPr>
      <w:r w:rsidRPr="00400300">
        <w:rPr>
          <w:rFonts w:cs="Arial"/>
          <w:szCs w:val="24"/>
          <w:lang w:eastAsia="ar-SA"/>
        </w:rPr>
        <w:t>Children’s Placement and Accommodation</w:t>
      </w:r>
      <w:r w:rsidR="00D9620B" w:rsidRPr="00400300">
        <w:rPr>
          <w:rFonts w:cs="Arial"/>
          <w:szCs w:val="24"/>
          <w:lang w:eastAsia="ar-SA"/>
        </w:rPr>
        <w:t xml:space="preserve"> </w:t>
      </w:r>
      <w:r w:rsidR="00424192" w:rsidRPr="00400300">
        <w:rPr>
          <w:rFonts w:cs="Arial"/>
          <w:szCs w:val="24"/>
          <w:lang w:eastAsia="ar-SA"/>
        </w:rPr>
        <w:t>(</w:t>
      </w:r>
      <w:r w:rsidR="00D9620B" w:rsidRPr="00400300">
        <w:rPr>
          <w:rFonts w:cs="Arial"/>
          <w:szCs w:val="24"/>
          <w:lang w:eastAsia="ar-SA"/>
        </w:rPr>
        <w:t>£</w:t>
      </w:r>
      <w:r w:rsidR="00614053" w:rsidRPr="00400300">
        <w:rPr>
          <w:rFonts w:cs="Arial"/>
          <w:szCs w:val="24"/>
          <w:lang w:eastAsia="ar-SA"/>
        </w:rPr>
        <w:t>1</w:t>
      </w:r>
      <w:r w:rsidR="00D9620B" w:rsidRPr="00400300">
        <w:rPr>
          <w:rFonts w:cs="Arial"/>
          <w:szCs w:val="24"/>
          <w:lang w:eastAsia="ar-SA"/>
        </w:rPr>
        <w:t>.</w:t>
      </w:r>
      <w:r w:rsidR="00424192" w:rsidRPr="00400300">
        <w:rPr>
          <w:rFonts w:cs="Arial"/>
          <w:szCs w:val="24"/>
          <w:lang w:eastAsia="ar-SA"/>
        </w:rPr>
        <w:t>432</w:t>
      </w:r>
      <w:r w:rsidR="00FD1CFF">
        <w:rPr>
          <w:rFonts w:cs="Arial"/>
          <w:szCs w:val="24"/>
          <w:lang w:eastAsia="ar-SA"/>
        </w:rPr>
        <w:t>m</w:t>
      </w:r>
      <w:r w:rsidR="00424192" w:rsidRPr="00400300">
        <w:rPr>
          <w:rFonts w:cs="Arial"/>
          <w:szCs w:val="24"/>
          <w:lang w:eastAsia="ar-SA"/>
        </w:rPr>
        <w:t>)</w:t>
      </w:r>
      <w:r w:rsidR="00FD1CFF">
        <w:rPr>
          <w:rFonts w:cs="Arial"/>
          <w:szCs w:val="24"/>
          <w:lang w:eastAsia="ar-SA"/>
        </w:rPr>
        <w:t xml:space="preserve"> </w:t>
      </w:r>
      <w:r w:rsidR="00424192" w:rsidRPr="00400300">
        <w:rPr>
          <w:rFonts w:cs="Arial"/>
          <w:szCs w:val="24"/>
          <w:lang w:eastAsia="ar-SA"/>
        </w:rPr>
        <w:t xml:space="preserve">under </w:t>
      </w:r>
      <w:r w:rsidR="00D9620B" w:rsidRPr="00400300">
        <w:rPr>
          <w:rFonts w:cs="Arial"/>
          <w:szCs w:val="24"/>
          <w:lang w:eastAsia="ar-SA"/>
        </w:rPr>
        <w:t>spend</w:t>
      </w:r>
      <w:r w:rsidR="00494530" w:rsidRPr="00400300">
        <w:rPr>
          <w:rFonts w:cs="Arial"/>
          <w:szCs w:val="24"/>
          <w:lang w:eastAsia="ar-SA"/>
        </w:rPr>
        <w:t>.</w:t>
      </w:r>
      <w:r w:rsidR="00131A34" w:rsidRPr="00400300">
        <w:rPr>
          <w:rFonts w:cs="Arial"/>
          <w:b/>
          <w:szCs w:val="24"/>
          <w:lang w:eastAsia="ar-SA"/>
        </w:rPr>
        <w:t xml:space="preserve">        </w:t>
      </w:r>
    </w:p>
    <w:p w:rsidR="00EB238C" w:rsidRDefault="00424192" w:rsidP="00957F91">
      <w:pPr>
        <w:suppressAutoHyphens/>
        <w:ind w:left="1134"/>
        <w:jc w:val="both"/>
        <w:rPr>
          <w:rFonts w:cs="Arial"/>
          <w:szCs w:val="24"/>
          <w:lang w:eastAsia="ar-SA"/>
        </w:rPr>
      </w:pPr>
      <w:r w:rsidRPr="00424192">
        <w:rPr>
          <w:rFonts w:cs="Arial"/>
          <w:szCs w:val="24"/>
          <w:lang w:eastAsia="ar-SA"/>
        </w:rPr>
        <w:t>Since the start of the financial year there has been a projected underspend on this budget as a result of the full year effect of reductions and pla</w:t>
      </w:r>
      <w:r w:rsidR="00FD1CFF">
        <w:rPr>
          <w:rFonts w:cs="Arial"/>
          <w:szCs w:val="24"/>
          <w:lang w:eastAsia="ar-SA"/>
        </w:rPr>
        <w:t>nned actions undertaken in 2017/</w:t>
      </w:r>
      <w:r w:rsidRPr="00424192">
        <w:rPr>
          <w:rFonts w:cs="Arial"/>
          <w:szCs w:val="24"/>
          <w:lang w:eastAsia="ar-SA"/>
        </w:rPr>
        <w:t>18 to reduce the commitment on this budget.</w:t>
      </w:r>
    </w:p>
    <w:p w:rsidR="002001E0" w:rsidRDefault="002001E0" w:rsidP="00400300">
      <w:pPr>
        <w:suppressAutoHyphens/>
        <w:ind w:left="1276"/>
        <w:jc w:val="both"/>
        <w:rPr>
          <w:rFonts w:cs="Arial"/>
          <w:szCs w:val="24"/>
          <w:lang w:eastAsia="ar-SA"/>
        </w:rPr>
      </w:pPr>
    </w:p>
    <w:p w:rsidR="00EB238C" w:rsidRDefault="00FD1CFF" w:rsidP="00721A9C">
      <w:pPr>
        <w:suppressAutoHyphens/>
        <w:ind w:left="1134"/>
        <w:jc w:val="both"/>
        <w:rPr>
          <w:rFonts w:cs="Arial"/>
          <w:szCs w:val="24"/>
          <w:lang w:eastAsia="ar-SA"/>
        </w:rPr>
      </w:pPr>
      <w:r>
        <w:rPr>
          <w:rFonts w:cs="Arial"/>
          <w:szCs w:val="24"/>
          <w:lang w:eastAsia="ar-SA"/>
        </w:rPr>
        <w:t>In 2018/</w:t>
      </w:r>
      <w:r w:rsidR="00424192" w:rsidRPr="00424192">
        <w:rPr>
          <w:rFonts w:cs="Arial"/>
          <w:szCs w:val="24"/>
          <w:lang w:eastAsia="ar-SA"/>
        </w:rPr>
        <w:t xml:space="preserve">19 the placement costs have continued to reduce throughout the financial year mainly to a fewer number of children needing services. The rate of children looked after per 10,000 of the child population in Harrow is currently one of the lowest in London. This has been achieved partly through the work of the Keeping Families Together service which aims to prevent young people from coming into care or stepping young people down from care where it is safe to do so. There are regular resource tracking and monitoring panels to ensure </w:t>
      </w:r>
      <w:r w:rsidR="00424192" w:rsidRPr="00424192">
        <w:rPr>
          <w:rFonts w:cs="Arial"/>
          <w:szCs w:val="24"/>
          <w:lang w:eastAsia="ar-SA"/>
        </w:rPr>
        <w:lastRenderedPageBreak/>
        <w:t>the level of accommodation and cost continues to be appropriate for the young person’s needs. This includes targeted actions to reduce the average cost of service provision through negotiation with providers. In addition, the overall cost reduction of accommodation for unaccompanied asylum seeking children has been achieved through maximising the young people placed within block contract services and council properties</w:t>
      </w:r>
      <w:r w:rsidR="00424192">
        <w:rPr>
          <w:rFonts w:cs="Arial"/>
          <w:szCs w:val="24"/>
          <w:lang w:eastAsia="ar-SA"/>
        </w:rPr>
        <w:t>.</w:t>
      </w:r>
      <w:r w:rsidR="00D9620B" w:rsidRPr="004E7384">
        <w:rPr>
          <w:rFonts w:cs="Arial"/>
          <w:szCs w:val="24"/>
          <w:lang w:eastAsia="ar-SA"/>
        </w:rPr>
        <w:t xml:space="preserve"> </w:t>
      </w:r>
    </w:p>
    <w:p w:rsidR="00EB238C" w:rsidRDefault="00EB238C" w:rsidP="00400300">
      <w:pPr>
        <w:suppressAutoHyphens/>
        <w:ind w:left="786"/>
        <w:jc w:val="both"/>
        <w:rPr>
          <w:rFonts w:cs="Arial"/>
          <w:szCs w:val="24"/>
          <w:lang w:eastAsia="ar-SA"/>
        </w:rPr>
      </w:pPr>
    </w:p>
    <w:p w:rsidR="00EB238C" w:rsidRPr="00400300" w:rsidRDefault="00F6546F" w:rsidP="00957F91">
      <w:pPr>
        <w:numPr>
          <w:ilvl w:val="0"/>
          <w:numId w:val="146"/>
        </w:numPr>
        <w:tabs>
          <w:tab w:val="left" w:pos="1418"/>
        </w:tabs>
        <w:suppressAutoHyphens/>
        <w:ind w:left="1134" w:hanging="425"/>
        <w:jc w:val="both"/>
        <w:rPr>
          <w:rFonts w:cs="Arial"/>
          <w:szCs w:val="24"/>
          <w:lang w:eastAsia="ar-SA"/>
        </w:rPr>
      </w:pPr>
      <w:r>
        <w:rPr>
          <w:rFonts w:cs="Arial"/>
          <w:szCs w:val="24"/>
          <w:lang w:eastAsia="ar-SA"/>
        </w:rPr>
        <w:t>External Legal Services</w:t>
      </w:r>
      <w:r w:rsidR="00EB238C" w:rsidRPr="00400300">
        <w:rPr>
          <w:rFonts w:cs="Arial"/>
          <w:szCs w:val="24"/>
          <w:lang w:eastAsia="ar-SA"/>
        </w:rPr>
        <w:t xml:space="preserve">  (£0.345m) under</w:t>
      </w:r>
      <w:r w:rsidR="00003093" w:rsidRPr="00400300">
        <w:rPr>
          <w:rFonts w:cs="Arial"/>
          <w:szCs w:val="24"/>
          <w:lang w:eastAsia="ar-SA"/>
        </w:rPr>
        <w:t xml:space="preserve"> </w:t>
      </w:r>
      <w:r w:rsidR="00EB238C" w:rsidRPr="00400300">
        <w:rPr>
          <w:rFonts w:cs="Arial"/>
          <w:szCs w:val="24"/>
          <w:lang w:eastAsia="ar-SA"/>
        </w:rPr>
        <w:t>spend</w:t>
      </w:r>
    </w:p>
    <w:p w:rsidR="00EB238C" w:rsidRDefault="00EB238C" w:rsidP="007C3080">
      <w:pPr>
        <w:suppressAutoHyphens/>
        <w:ind w:left="1134"/>
        <w:jc w:val="both"/>
        <w:rPr>
          <w:rFonts w:cs="Arial"/>
          <w:szCs w:val="24"/>
          <w:lang w:eastAsia="ar-SA"/>
        </w:rPr>
      </w:pPr>
      <w:r w:rsidRPr="00EB238C">
        <w:rPr>
          <w:rFonts w:cs="Arial"/>
          <w:szCs w:val="24"/>
          <w:lang w:eastAsia="ar-SA"/>
        </w:rPr>
        <w:t>The expenditure relates to external legal fees for care proceedings including counsel, court fees, experts and assessments. The underspend is due to an increase in the number of Public Law Outline (PLO) pre proceedings work to ensure that as much work has been carried out as possible before or instead of the beginning of care proceedings as well as carrying out any necessary assessments and work with the family which may either delay or incur additional costs once the care proceedings have begun. In addition to this the reduction in the number of children looked after will result in fewer court proceedings</w:t>
      </w:r>
      <w:r>
        <w:rPr>
          <w:rFonts w:cs="Arial"/>
          <w:szCs w:val="24"/>
          <w:lang w:eastAsia="ar-SA"/>
        </w:rPr>
        <w:t>.</w:t>
      </w:r>
    </w:p>
    <w:p w:rsidR="00EB238C" w:rsidRDefault="00EB238C">
      <w:pPr>
        <w:suppressAutoHyphens/>
        <w:ind w:left="786"/>
        <w:jc w:val="both"/>
        <w:rPr>
          <w:rFonts w:cs="Arial"/>
          <w:szCs w:val="24"/>
          <w:lang w:eastAsia="ar-SA"/>
        </w:rPr>
      </w:pPr>
    </w:p>
    <w:p w:rsidR="00EB238C" w:rsidRPr="00400300" w:rsidRDefault="00EB238C" w:rsidP="00957F91">
      <w:pPr>
        <w:numPr>
          <w:ilvl w:val="0"/>
          <w:numId w:val="146"/>
        </w:numPr>
        <w:tabs>
          <w:tab w:val="left" w:pos="1134"/>
        </w:tabs>
        <w:suppressAutoHyphens/>
        <w:ind w:left="1134" w:hanging="425"/>
        <w:jc w:val="both"/>
        <w:rPr>
          <w:rFonts w:cs="Arial"/>
          <w:szCs w:val="24"/>
          <w:lang w:eastAsia="ar-SA"/>
        </w:rPr>
      </w:pPr>
      <w:r w:rsidRPr="00400300">
        <w:rPr>
          <w:rFonts w:cs="Arial"/>
          <w:szCs w:val="24"/>
          <w:lang w:eastAsia="ar-SA"/>
        </w:rPr>
        <w:t>Early Support Service</w:t>
      </w:r>
      <w:r w:rsidR="00F6546F">
        <w:rPr>
          <w:rFonts w:cs="Arial"/>
          <w:szCs w:val="24"/>
          <w:lang w:eastAsia="ar-SA"/>
        </w:rPr>
        <w:t>s</w:t>
      </w:r>
      <w:r w:rsidRPr="00400300">
        <w:rPr>
          <w:rFonts w:cs="Arial"/>
          <w:szCs w:val="24"/>
          <w:lang w:eastAsia="ar-SA"/>
        </w:rPr>
        <w:t xml:space="preserve"> (£0.32</w:t>
      </w:r>
      <w:r w:rsidR="00576D43">
        <w:rPr>
          <w:rFonts w:cs="Arial"/>
          <w:szCs w:val="24"/>
          <w:lang w:eastAsia="ar-SA"/>
        </w:rPr>
        <w:t>1</w:t>
      </w:r>
      <w:r w:rsidRPr="00400300">
        <w:rPr>
          <w:rFonts w:cs="Arial"/>
          <w:szCs w:val="24"/>
          <w:lang w:eastAsia="ar-SA"/>
        </w:rPr>
        <w:t>m) under</w:t>
      </w:r>
      <w:r w:rsidR="00003093" w:rsidRPr="00400300">
        <w:rPr>
          <w:rFonts w:cs="Arial"/>
          <w:szCs w:val="24"/>
          <w:lang w:eastAsia="ar-SA"/>
        </w:rPr>
        <w:t xml:space="preserve"> s</w:t>
      </w:r>
      <w:r w:rsidRPr="00400300">
        <w:rPr>
          <w:rFonts w:cs="Arial"/>
          <w:szCs w:val="24"/>
          <w:lang w:eastAsia="ar-SA"/>
        </w:rPr>
        <w:t>pend</w:t>
      </w:r>
    </w:p>
    <w:p w:rsidR="00EB238C" w:rsidRDefault="00F6546F" w:rsidP="007C3080">
      <w:pPr>
        <w:suppressAutoHyphens/>
        <w:ind w:left="1134"/>
        <w:jc w:val="both"/>
        <w:rPr>
          <w:rFonts w:cs="Arial"/>
          <w:szCs w:val="24"/>
          <w:lang w:eastAsia="ar-SA"/>
        </w:rPr>
      </w:pPr>
      <w:r>
        <w:rPr>
          <w:rFonts w:cs="Arial"/>
          <w:szCs w:val="24"/>
          <w:lang w:eastAsia="ar-SA"/>
        </w:rPr>
        <w:t xml:space="preserve">The </w:t>
      </w:r>
      <w:r w:rsidR="00EB238C" w:rsidRPr="00EB238C">
        <w:rPr>
          <w:rFonts w:cs="Arial"/>
          <w:szCs w:val="24"/>
          <w:lang w:eastAsia="ar-SA"/>
        </w:rPr>
        <w:t>under</w:t>
      </w:r>
      <w:r>
        <w:rPr>
          <w:rFonts w:cs="Arial"/>
          <w:szCs w:val="24"/>
          <w:lang w:eastAsia="ar-SA"/>
        </w:rPr>
        <w:t xml:space="preserve"> </w:t>
      </w:r>
      <w:r w:rsidR="00EB238C" w:rsidRPr="00EB238C">
        <w:rPr>
          <w:rFonts w:cs="Arial"/>
          <w:szCs w:val="24"/>
          <w:lang w:eastAsia="ar-SA"/>
        </w:rPr>
        <w:t xml:space="preserve">spend of </w:t>
      </w:r>
      <w:r w:rsidR="00EB238C">
        <w:rPr>
          <w:rFonts w:cs="Arial"/>
          <w:szCs w:val="24"/>
          <w:lang w:eastAsia="ar-SA"/>
        </w:rPr>
        <w:t>(</w:t>
      </w:r>
      <w:r w:rsidR="00EB238C" w:rsidRPr="00EB238C">
        <w:rPr>
          <w:rFonts w:cs="Arial"/>
          <w:szCs w:val="24"/>
          <w:lang w:eastAsia="ar-SA"/>
        </w:rPr>
        <w:t>£</w:t>
      </w:r>
      <w:r w:rsidR="00EB238C">
        <w:rPr>
          <w:rFonts w:cs="Arial"/>
          <w:szCs w:val="24"/>
          <w:lang w:eastAsia="ar-SA"/>
        </w:rPr>
        <w:t>0.32</w:t>
      </w:r>
      <w:r w:rsidR="00576D43">
        <w:rPr>
          <w:rFonts w:cs="Arial"/>
          <w:szCs w:val="24"/>
          <w:lang w:eastAsia="ar-SA"/>
        </w:rPr>
        <w:t>1</w:t>
      </w:r>
      <w:r w:rsidR="00EB238C">
        <w:rPr>
          <w:rFonts w:cs="Arial"/>
          <w:szCs w:val="24"/>
          <w:lang w:eastAsia="ar-SA"/>
        </w:rPr>
        <w:t>m)</w:t>
      </w:r>
      <w:r w:rsidR="00EB238C" w:rsidRPr="00EB238C">
        <w:rPr>
          <w:rFonts w:cs="Arial"/>
          <w:szCs w:val="24"/>
          <w:lang w:eastAsia="ar-SA"/>
        </w:rPr>
        <w:t xml:space="preserve"> </w:t>
      </w:r>
      <w:r>
        <w:rPr>
          <w:rFonts w:cs="Arial"/>
          <w:szCs w:val="24"/>
          <w:lang w:eastAsia="ar-SA"/>
        </w:rPr>
        <w:t xml:space="preserve">is </w:t>
      </w:r>
      <w:r w:rsidR="00EB238C" w:rsidRPr="00EB238C">
        <w:rPr>
          <w:rFonts w:cs="Arial"/>
          <w:szCs w:val="24"/>
          <w:lang w:eastAsia="ar-SA"/>
        </w:rPr>
        <w:t>mainly because of difficulties in recruiting qualified staff into vacant roles despite a number of recruitment drives during the course of the year. However, a number of key management posts have now been recruited to and recruitment will continue to ensure all remaining essential posts are filled.</w:t>
      </w:r>
    </w:p>
    <w:p w:rsidR="00EB238C" w:rsidRDefault="00EB238C">
      <w:pPr>
        <w:suppressAutoHyphens/>
        <w:ind w:left="786"/>
        <w:jc w:val="both"/>
        <w:rPr>
          <w:rFonts w:cs="Arial"/>
          <w:b/>
          <w:szCs w:val="24"/>
          <w:lang w:eastAsia="ar-SA"/>
        </w:rPr>
      </w:pPr>
    </w:p>
    <w:p w:rsidR="00EB238C" w:rsidRPr="00400300" w:rsidRDefault="00EB238C" w:rsidP="00957F91">
      <w:pPr>
        <w:numPr>
          <w:ilvl w:val="0"/>
          <w:numId w:val="146"/>
        </w:numPr>
        <w:suppressAutoHyphens/>
        <w:ind w:left="1134" w:hanging="425"/>
        <w:jc w:val="both"/>
        <w:rPr>
          <w:rFonts w:cs="Arial"/>
          <w:szCs w:val="24"/>
          <w:lang w:eastAsia="ar-SA"/>
        </w:rPr>
      </w:pPr>
      <w:r w:rsidRPr="00400300">
        <w:rPr>
          <w:rFonts w:cs="Arial"/>
          <w:szCs w:val="24"/>
          <w:lang w:eastAsia="ar-SA"/>
        </w:rPr>
        <w:t>Section 17 and Client Related Spend (£0.049m) under</w:t>
      </w:r>
      <w:r w:rsidR="00003093" w:rsidRPr="00400300">
        <w:rPr>
          <w:rFonts w:cs="Arial"/>
          <w:szCs w:val="24"/>
          <w:lang w:eastAsia="ar-SA"/>
        </w:rPr>
        <w:t xml:space="preserve"> </w:t>
      </w:r>
      <w:r w:rsidR="00A948EF">
        <w:rPr>
          <w:rFonts w:cs="Arial"/>
          <w:szCs w:val="24"/>
          <w:lang w:eastAsia="ar-SA"/>
        </w:rPr>
        <w:t>s</w:t>
      </w:r>
      <w:r w:rsidRPr="00400300">
        <w:rPr>
          <w:rFonts w:cs="Arial"/>
          <w:szCs w:val="24"/>
          <w:lang w:eastAsia="ar-SA"/>
        </w:rPr>
        <w:t>pend</w:t>
      </w:r>
    </w:p>
    <w:p w:rsidR="00EB238C" w:rsidRDefault="00EB238C" w:rsidP="007C3080">
      <w:pPr>
        <w:suppressAutoHyphens/>
        <w:ind w:left="1134"/>
        <w:jc w:val="both"/>
        <w:rPr>
          <w:rFonts w:cs="Arial"/>
          <w:szCs w:val="24"/>
          <w:lang w:eastAsia="ar-SA"/>
        </w:rPr>
      </w:pPr>
      <w:r w:rsidRPr="00400300">
        <w:rPr>
          <w:rFonts w:cs="Arial"/>
          <w:szCs w:val="24"/>
          <w:lang w:eastAsia="ar-SA"/>
        </w:rPr>
        <w:t>Expenditure relates to families being supported by the Council because they have no recourse to public funds (NRPF) and also provides support and subsistence payments to children in need. Regular tracking &amp; monitoring enables decisions for families to be made in a timely way to enable access to benefits.</w:t>
      </w:r>
    </w:p>
    <w:p w:rsidR="006E4931" w:rsidRDefault="006E4931" w:rsidP="00400300">
      <w:pPr>
        <w:suppressAutoHyphens/>
        <w:ind w:left="709"/>
        <w:jc w:val="both"/>
        <w:rPr>
          <w:rFonts w:cs="Arial"/>
          <w:szCs w:val="24"/>
          <w:lang w:eastAsia="ar-SA"/>
        </w:rPr>
      </w:pPr>
    </w:p>
    <w:p w:rsidR="00EB238C" w:rsidRPr="00A42B8B" w:rsidRDefault="00053A5F" w:rsidP="00957F91">
      <w:pPr>
        <w:pStyle w:val="ListParagraph"/>
        <w:numPr>
          <w:ilvl w:val="0"/>
          <w:numId w:val="24"/>
        </w:numPr>
        <w:suppressAutoHyphens/>
        <w:ind w:left="1134" w:hanging="425"/>
        <w:jc w:val="both"/>
        <w:rPr>
          <w:rFonts w:cs="Arial"/>
          <w:szCs w:val="24"/>
          <w:lang w:eastAsia="ar-SA"/>
        </w:rPr>
      </w:pPr>
      <w:r>
        <w:rPr>
          <w:rFonts w:cs="Arial"/>
          <w:szCs w:val="24"/>
          <w:lang w:eastAsia="ar-SA"/>
        </w:rPr>
        <w:t>In Y</w:t>
      </w:r>
      <w:r w:rsidR="00F6546F">
        <w:rPr>
          <w:rFonts w:cs="Arial"/>
          <w:szCs w:val="24"/>
          <w:lang w:eastAsia="ar-SA"/>
        </w:rPr>
        <w:t xml:space="preserve">ear </w:t>
      </w:r>
      <w:r>
        <w:rPr>
          <w:rFonts w:cs="Arial"/>
          <w:szCs w:val="24"/>
          <w:lang w:eastAsia="ar-SA"/>
        </w:rPr>
        <w:t>M</w:t>
      </w:r>
      <w:r w:rsidR="00BF61BE">
        <w:rPr>
          <w:rFonts w:cs="Arial"/>
          <w:szCs w:val="24"/>
          <w:lang w:eastAsia="ar-SA"/>
        </w:rPr>
        <w:t xml:space="preserve">anagement </w:t>
      </w:r>
      <w:r>
        <w:rPr>
          <w:rFonts w:cs="Arial"/>
          <w:szCs w:val="24"/>
          <w:lang w:eastAsia="ar-SA"/>
        </w:rPr>
        <w:t>A</w:t>
      </w:r>
      <w:r w:rsidR="00EB238C" w:rsidRPr="00400300">
        <w:rPr>
          <w:rFonts w:cs="Arial"/>
          <w:szCs w:val="24"/>
          <w:lang w:eastAsia="ar-SA"/>
        </w:rPr>
        <w:t>ctions</w:t>
      </w:r>
      <w:r>
        <w:rPr>
          <w:rFonts w:cs="Arial"/>
          <w:szCs w:val="24"/>
          <w:lang w:eastAsia="ar-SA"/>
        </w:rPr>
        <w:t xml:space="preserve"> and Other V</w:t>
      </w:r>
      <w:r w:rsidR="00BF61BE">
        <w:rPr>
          <w:rFonts w:cs="Arial"/>
          <w:szCs w:val="24"/>
          <w:lang w:eastAsia="ar-SA"/>
        </w:rPr>
        <w:t>ariances</w:t>
      </w:r>
      <w:r w:rsidR="00EB238C" w:rsidRPr="00400300">
        <w:rPr>
          <w:rFonts w:cs="Arial"/>
          <w:szCs w:val="24"/>
          <w:lang w:eastAsia="ar-SA"/>
        </w:rPr>
        <w:t xml:space="preserve"> (£0.309m) underspend </w:t>
      </w:r>
    </w:p>
    <w:p w:rsidR="00EB238C" w:rsidRDefault="00EB238C" w:rsidP="00957F91">
      <w:pPr>
        <w:suppressAutoHyphens/>
        <w:ind w:left="1134"/>
        <w:jc w:val="both"/>
        <w:rPr>
          <w:rFonts w:cs="Arial"/>
          <w:szCs w:val="24"/>
          <w:lang w:eastAsia="ar-SA"/>
        </w:rPr>
      </w:pPr>
      <w:r w:rsidRPr="00EB238C">
        <w:rPr>
          <w:rFonts w:cs="Arial"/>
          <w:szCs w:val="24"/>
          <w:lang w:eastAsia="ar-SA"/>
        </w:rPr>
        <w:t>This is made up of other management actions in relation to one off income</w:t>
      </w:r>
      <w:r>
        <w:rPr>
          <w:rFonts w:cs="Arial"/>
          <w:szCs w:val="24"/>
          <w:lang w:eastAsia="ar-SA"/>
        </w:rPr>
        <w:t>.</w:t>
      </w:r>
    </w:p>
    <w:p w:rsidR="00DD7BD4" w:rsidRPr="00400300" w:rsidRDefault="00DD7BD4" w:rsidP="00400300">
      <w:pPr>
        <w:suppressAutoHyphens/>
        <w:ind w:left="1276"/>
        <w:jc w:val="both"/>
        <w:rPr>
          <w:rFonts w:cs="Arial"/>
          <w:szCs w:val="24"/>
          <w:lang w:eastAsia="ar-SA"/>
        </w:rPr>
      </w:pPr>
    </w:p>
    <w:p w:rsidR="00EB238C" w:rsidRPr="00C516EB" w:rsidRDefault="00DD7BD4" w:rsidP="00957F91">
      <w:pPr>
        <w:pStyle w:val="ListParagraph"/>
        <w:numPr>
          <w:ilvl w:val="0"/>
          <w:numId w:val="171"/>
        </w:numPr>
        <w:suppressAutoHyphens/>
        <w:ind w:left="709" w:right="304" w:hanging="709"/>
        <w:jc w:val="both"/>
        <w:rPr>
          <w:rFonts w:cs="Arial"/>
          <w:b/>
          <w:szCs w:val="24"/>
          <w:lang w:eastAsia="ar-SA"/>
        </w:rPr>
      </w:pPr>
      <w:r w:rsidRPr="00C516EB">
        <w:rPr>
          <w:rFonts w:cs="Arial"/>
        </w:rPr>
        <w:t>The above under spend is reduced by the following over spends:</w:t>
      </w:r>
    </w:p>
    <w:p w:rsidR="008A691B" w:rsidRPr="004E7384" w:rsidRDefault="008A691B">
      <w:pPr>
        <w:suppressAutoHyphens/>
        <w:ind w:left="786"/>
        <w:jc w:val="both"/>
        <w:rPr>
          <w:rFonts w:cs="Arial"/>
          <w:szCs w:val="24"/>
          <w:lang w:eastAsia="ar-SA"/>
        </w:rPr>
      </w:pPr>
    </w:p>
    <w:p w:rsidR="00DD06D1" w:rsidRDefault="008A691B" w:rsidP="00957F91">
      <w:pPr>
        <w:numPr>
          <w:ilvl w:val="0"/>
          <w:numId w:val="24"/>
        </w:numPr>
        <w:suppressAutoHyphens/>
        <w:ind w:left="1134" w:hanging="425"/>
        <w:jc w:val="both"/>
        <w:rPr>
          <w:rFonts w:cs="Arial"/>
          <w:szCs w:val="24"/>
          <w:lang w:eastAsia="ar-SA"/>
        </w:rPr>
      </w:pPr>
      <w:r w:rsidRPr="00400300">
        <w:rPr>
          <w:rFonts w:cs="Arial"/>
          <w:szCs w:val="24"/>
          <w:lang w:eastAsia="ar-SA"/>
        </w:rPr>
        <w:t>Frontline</w:t>
      </w:r>
      <w:r w:rsidR="00E11D90">
        <w:rPr>
          <w:rFonts w:cs="Arial"/>
          <w:szCs w:val="24"/>
          <w:lang w:eastAsia="ar-SA"/>
        </w:rPr>
        <w:t xml:space="preserve"> Staffing and Resources </w:t>
      </w:r>
      <w:r w:rsidR="00D9620B" w:rsidRPr="00400300">
        <w:rPr>
          <w:rFonts w:cs="Arial"/>
          <w:szCs w:val="24"/>
          <w:lang w:eastAsia="ar-SA"/>
        </w:rPr>
        <w:t>£</w:t>
      </w:r>
      <w:r w:rsidRPr="00400300">
        <w:rPr>
          <w:rFonts w:cs="Arial"/>
          <w:szCs w:val="24"/>
          <w:lang w:eastAsia="ar-SA"/>
        </w:rPr>
        <w:t>0</w:t>
      </w:r>
      <w:r w:rsidR="00AD6760" w:rsidRPr="00400300">
        <w:rPr>
          <w:rFonts w:cs="Arial"/>
          <w:szCs w:val="24"/>
          <w:lang w:eastAsia="ar-SA"/>
        </w:rPr>
        <w:t>.</w:t>
      </w:r>
      <w:r w:rsidR="00EB238C" w:rsidRPr="00400300">
        <w:rPr>
          <w:rFonts w:cs="Arial"/>
          <w:szCs w:val="24"/>
          <w:lang w:eastAsia="ar-SA"/>
        </w:rPr>
        <w:t>340</w:t>
      </w:r>
      <w:r w:rsidR="00D9620B" w:rsidRPr="00400300">
        <w:rPr>
          <w:rFonts w:cs="Arial"/>
          <w:szCs w:val="24"/>
          <w:lang w:eastAsia="ar-SA"/>
        </w:rPr>
        <w:t>m</w:t>
      </w:r>
      <w:r w:rsidR="00AD6760" w:rsidRPr="00400300">
        <w:rPr>
          <w:rFonts w:cs="Arial"/>
          <w:szCs w:val="24"/>
          <w:lang w:eastAsia="ar-SA"/>
        </w:rPr>
        <w:t xml:space="preserve"> over</w:t>
      </w:r>
      <w:r w:rsidR="00E11D90">
        <w:rPr>
          <w:rFonts w:cs="Arial"/>
          <w:szCs w:val="24"/>
          <w:lang w:eastAsia="ar-SA"/>
        </w:rPr>
        <w:t xml:space="preserve"> </w:t>
      </w:r>
      <w:r w:rsidR="00AD6760" w:rsidRPr="00400300">
        <w:rPr>
          <w:rFonts w:cs="Arial"/>
          <w:szCs w:val="24"/>
          <w:lang w:eastAsia="ar-SA"/>
        </w:rPr>
        <w:t>spend</w:t>
      </w:r>
      <w:r w:rsidR="00AD6760" w:rsidRPr="004E7384">
        <w:rPr>
          <w:rFonts w:cs="Arial"/>
          <w:szCs w:val="24"/>
          <w:lang w:eastAsia="ar-SA"/>
        </w:rPr>
        <w:t xml:space="preserve"> </w:t>
      </w:r>
    </w:p>
    <w:p w:rsidR="00EB238C" w:rsidRDefault="008A691B" w:rsidP="007C3080">
      <w:pPr>
        <w:suppressAutoHyphens/>
        <w:ind w:left="1134"/>
        <w:jc w:val="both"/>
        <w:rPr>
          <w:rFonts w:cs="Arial"/>
          <w:szCs w:val="24"/>
          <w:lang w:eastAsia="ar-SA"/>
        </w:rPr>
      </w:pPr>
      <w:r w:rsidRPr="004E7384">
        <w:rPr>
          <w:rFonts w:cs="Arial"/>
          <w:szCs w:val="24"/>
          <w:lang w:eastAsia="ar-SA"/>
        </w:rPr>
        <w:t xml:space="preserve">The main pressure is as a result of agency staff covering vacant posts, sickness and maternity together with ‘as and when’ required staff carrying out supervised contact. </w:t>
      </w:r>
      <w:r w:rsidR="00EB238C" w:rsidRPr="00EB238C">
        <w:rPr>
          <w:rFonts w:cs="Arial"/>
          <w:szCs w:val="24"/>
          <w:lang w:eastAsia="ar-SA"/>
        </w:rPr>
        <w:t xml:space="preserve">There have also been additional pressures on </w:t>
      </w:r>
      <w:proofErr w:type="spellStart"/>
      <w:r w:rsidR="00EB238C" w:rsidRPr="00EB238C">
        <w:rPr>
          <w:rFonts w:cs="Arial"/>
          <w:szCs w:val="24"/>
          <w:lang w:eastAsia="ar-SA"/>
        </w:rPr>
        <w:t>non salary</w:t>
      </w:r>
      <w:proofErr w:type="spellEnd"/>
      <w:r w:rsidR="00EB238C" w:rsidRPr="00EB238C">
        <w:rPr>
          <w:rFonts w:cs="Arial"/>
          <w:szCs w:val="24"/>
          <w:lang w:eastAsia="ar-SA"/>
        </w:rPr>
        <w:t xml:space="preserve"> costs relating to severance following a reorganisation; recruitment fees, staff expenses, training and IT/phone equipment charges</w:t>
      </w:r>
      <w:r w:rsidR="00EB238C">
        <w:rPr>
          <w:rFonts w:cs="Arial"/>
          <w:szCs w:val="24"/>
          <w:lang w:eastAsia="ar-SA"/>
        </w:rPr>
        <w:t>.</w:t>
      </w:r>
    </w:p>
    <w:p w:rsidR="00D306D2" w:rsidRDefault="00D306D2" w:rsidP="00400300">
      <w:pPr>
        <w:suppressAutoHyphens/>
        <w:ind w:left="1276"/>
        <w:jc w:val="both"/>
        <w:rPr>
          <w:rFonts w:cs="Arial"/>
          <w:szCs w:val="24"/>
          <w:lang w:eastAsia="ar-SA"/>
        </w:rPr>
      </w:pPr>
    </w:p>
    <w:p w:rsidR="00D306D2" w:rsidRPr="00DD06D1" w:rsidRDefault="00D306D2" w:rsidP="00957F91">
      <w:pPr>
        <w:numPr>
          <w:ilvl w:val="0"/>
          <w:numId w:val="24"/>
        </w:numPr>
        <w:suppressAutoHyphens/>
        <w:ind w:left="1134" w:hanging="425"/>
        <w:jc w:val="both"/>
        <w:rPr>
          <w:rFonts w:cs="Arial"/>
          <w:szCs w:val="24"/>
          <w:lang w:eastAsia="ar-SA"/>
        </w:rPr>
      </w:pPr>
      <w:r w:rsidRPr="00DD06D1">
        <w:rPr>
          <w:rFonts w:cs="Arial"/>
          <w:szCs w:val="24"/>
          <w:lang w:eastAsia="ar-SA"/>
        </w:rPr>
        <w:t>School Standards &amp; Effectiveness of £0.157</w:t>
      </w:r>
      <w:r w:rsidRPr="00705069">
        <w:rPr>
          <w:rFonts w:cs="Arial"/>
          <w:szCs w:val="24"/>
          <w:lang w:eastAsia="ar-SA"/>
        </w:rPr>
        <w:t>m</w:t>
      </w:r>
      <w:r w:rsidRPr="00DD06D1">
        <w:rPr>
          <w:rFonts w:cs="Arial"/>
          <w:szCs w:val="24"/>
          <w:lang w:eastAsia="ar-SA"/>
        </w:rPr>
        <w:t xml:space="preserve"> over</w:t>
      </w:r>
      <w:r w:rsidRPr="00705069">
        <w:rPr>
          <w:rFonts w:cs="Arial"/>
          <w:szCs w:val="24"/>
          <w:lang w:eastAsia="ar-SA"/>
        </w:rPr>
        <w:t xml:space="preserve"> </w:t>
      </w:r>
      <w:r w:rsidRPr="00DD06D1">
        <w:rPr>
          <w:rFonts w:cs="Arial"/>
          <w:szCs w:val="24"/>
          <w:lang w:eastAsia="ar-SA"/>
        </w:rPr>
        <w:t>spend</w:t>
      </w:r>
    </w:p>
    <w:p w:rsidR="00D306D2" w:rsidRDefault="00D306D2" w:rsidP="00957F91">
      <w:pPr>
        <w:suppressAutoHyphens/>
        <w:ind w:left="1134" w:hanging="425"/>
        <w:jc w:val="both"/>
        <w:rPr>
          <w:rFonts w:cs="Arial"/>
          <w:szCs w:val="24"/>
          <w:lang w:eastAsia="ar-SA"/>
        </w:rPr>
      </w:pPr>
      <w:r>
        <w:rPr>
          <w:rFonts w:cs="Arial"/>
          <w:szCs w:val="24"/>
          <w:lang w:eastAsia="ar-SA"/>
        </w:rPr>
        <w:t xml:space="preserve">     </w:t>
      </w:r>
      <w:r w:rsidRPr="00431B85">
        <w:rPr>
          <w:rFonts w:cs="Arial"/>
          <w:szCs w:val="24"/>
          <w:lang w:eastAsia="ar-SA"/>
        </w:rPr>
        <w:t xml:space="preserve">This being due to one off severance costs as a result of a restructure to </w:t>
      </w:r>
      <w:r>
        <w:rPr>
          <w:rFonts w:cs="Arial"/>
          <w:szCs w:val="24"/>
          <w:lang w:eastAsia="ar-SA"/>
        </w:rPr>
        <w:t xml:space="preserve">  </w:t>
      </w:r>
      <w:r w:rsidRPr="00431B85">
        <w:rPr>
          <w:rFonts w:cs="Arial"/>
          <w:szCs w:val="24"/>
          <w:lang w:eastAsia="ar-SA"/>
        </w:rPr>
        <w:t>move the service from a traded service to a statutory service, shortfall in income and agency staffing cost</w:t>
      </w:r>
      <w:r>
        <w:rPr>
          <w:rFonts w:cs="Arial"/>
          <w:szCs w:val="24"/>
          <w:lang w:eastAsia="ar-SA"/>
        </w:rPr>
        <w:t>s</w:t>
      </w:r>
      <w:r w:rsidRPr="00431B85">
        <w:rPr>
          <w:rFonts w:cs="Arial"/>
          <w:szCs w:val="24"/>
          <w:lang w:eastAsia="ar-SA"/>
        </w:rPr>
        <w:t xml:space="preserve"> to cover vacant posts</w:t>
      </w:r>
      <w:r>
        <w:rPr>
          <w:rFonts w:cs="Arial"/>
          <w:szCs w:val="24"/>
          <w:lang w:eastAsia="ar-SA"/>
        </w:rPr>
        <w:t>.</w:t>
      </w:r>
    </w:p>
    <w:p w:rsidR="00D306D2" w:rsidRDefault="00D306D2" w:rsidP="00400300">
      <w:pPr>
        <w:suppressAutoHyphens/>
        <w:ind w:left="1276"/>
        <w:jc w:val="both"/>
        <w:rPr>
          <w:rFonts w:cs="Arial"/>
          <w:szCs w:val="24"/>
          <w:lang w:eastAsia="ar-SA"/>
        </w:rPr>
      </w:pPr>
    </w:p>
    <w:p w:rsidR="00EB238C" w:rsidRPr="00DD06D1" w:rsidRDefault="00EB238C" w:rsidP="00957F91">
      <w:pPr>
        <w:numPr>
          <w:ilvl w:val="0"/>
          <w:numId w:val="24"/>
        </w:numPr>
        <w:suppressAutoHyphens/>
        <w:ind w:left="1134" w:hanging="425"/>
        <w:jc w:val="both"/>
        <w:rPr>
          <w:rFonts w:cs="Arial"/>
          <w:szCs w:val="24"/>
          <w:lang w:eastAsia="ar-SA"/>
        </w:rPr>
      </w:pPr>
      <w:r w:rsidRPr="00400300">
        <w:rPr>
          <w:rFonts w:cs="Arial"/>
          <w:szCs w:val="24"/>
          <w:lang w:eastAsia="ar-SA"/>
        </w:rPr>
        <w:t>SEN Transport £</w:t>
      </w:r>
      <w:r w:rsidR="00431B85" w:rsidRPr="00400300">
        <w:rPr>
          <w:rFonts w:cs="Arial"/>
          <w:szCs w:val="24"/>
          <w:lang w:eastAsia="ar-SA"/>
        </w:rPr>
        <w:t>0.</w:t>
      </w:r>
      <w:r w:rsidRPr="00400300">
        <w:rPr>
          <w:rFonts w:cs="Arial"/>
          <w:szCs w:val="24"/>
          <w:lang w:eastAsia="ar-SA"/>
        </w:rPr>
        <w:t>298</w:t>
      </w:r>
      <w:r w:rsidR="00431B85" w:rsidRPr="00400300">
        <w:rPr>
          <w:rFonts w:cs="Arial"/>
          <w:szCs w:val="24"/>
          <w:lang w:eastAsia="ar-SA"/>
        </w:rPr>
        <w:t>m</w:t>
      </w:r>
      <w:r w:rsidRPr="00400300">
        <w:rPr>
          <w:rFonts w:cs="Arial"/>
          <w:szCs w:val="24"/>
          <w:lang w:eastAsia="ar-SA"/>
        </w:rPr>
        <w:t xml:space="preserve"> overspend</w:t>
      </w:r>
    </w:p>
    <w:p w:rsidR="00EB238C" w:rsidRDefault="00EB238C" w:rsidP="007C3080">
      <w:pPr>
        <w:suppressAutoHyphens/>
        <w:ind w:left="1134"/>
        <w:jc w:val="both"/>
        <w:rPr>
          <w:rFonts w:cs="Arial"/>
          <w:szCs w:val="24"/>
          <w:lang w:eastAsia="ar-SA"/>
        </w:rPr>
      </w:pPr>
      <w:r w:rsidRPr="00EB238C">
        <w:rPr>
          <w:rFonts w:cs="Arial"/>
          <w:szCs w:val="24"/>
          <w:lang w:eastAsia="ar-SA"/>
        </w:rPr>
        <w:t xml:space="preserve">SEN Transport provides home to school and home to further education settings for children and young people in education with Education Health and Care Plans (EHCPs).The outturn position has been mainly due to increase in service </w:t>
      </w:r>
      <w:r w:rsidRPr="00EB238C">
        <w:rPr>
          <w:rFonts w:cs="Arial"/>
          <w:szCs w:val="24"/>
          <w:lang w:eastAsia="ar-SA"/>
        </w:rPr>
        <w:lastRenderedPageBreak/>
        <w:t>demand. In particular there has been has been a marked increase in the number of young people eligible for transport in the post 16 and post 19 phases, the latter of which results in transport being provided for a cohort of young people who previously did not receive a service. There has also been increase in agency staffing costs to cover driver vacancies</w:t>
      </w:r>
      <w:r>
        <w:rPr>
          <w:rFonts w:cs="Arial"/>
          <w:szCs w:val="24"/>
          <w:lang w:eastAsia="ar-SA"/>
        </w:rPr>
        <w:t>.</w:t>
      </w:r>
    </w:p>
    <w:p w:rsidR="00431B85" w:rsidRDefault="00431B85" w:rsidP="00400300">
      <w:pPr>
        <w:suppressAutoHyphens/>
        <w:ind w:left="786"/>
        <w:jc w:val="both"/>
        <w:rPr>
          <w:rFonts w:cs="Arial"/>
          <w:szCs w:val="24"/>
          <w:lang w:eastAsia="ar-SA"/>
        </w:rPr>
      </w:pPr>
    </w:p>
    <w:p w:rsidR="00EB238C" w:rsidRPr="00DD06D1" w:rsidRDefault="00EB238C" w:rsidP="00957F91">
      <w:pPr>
        <w:numPr>
          <w:ilvl w:val="0"/>
          <w:numId w:val="24"/>
        </w:numPr>
        <w:suppressAutoHyphens/>
        <w:ind w:left="1134" w:hanging="425"/>
        <w:jc w:val="both"/>
        <w:rPr>
          <w:rFonts w:cs="Arial"/>
          <w:szCs w:val="24"/>
          <w:lang w:eastAsia="ar-SA"/>
        </w:rPr>
      </w:pPr>
      <w:r w:rsidRPr="00400300">
        <w:rPr>
          <w:rFonts w:cs="Arial"/>
          <w:szCs w:val="24"/>
          <w:lang w:eastAsia="ar-SA"/>
        </w:rPr>
        <w:t>Capital Programme &amp; Schools Private Finance Initiative £</w:t>
      </w:r>
      <w:r w:rsidR="00C75336" w:rsidRPr="00400300">
        <w:rPr>
          <w:rFonts w:cs="Arial"/>
          <w:szCs w:val="24"/>
          <w:lang w:eastAsia="ar-SA"/>
        </w:rPr>
        <w:t>0.</w:t>
      </w:r>
      <w:r w:rsidRPr="00400300">
        <w:rPr>
          <w:rFonts w:cs="Arial"/>
          <w:szCs w:val="24"/>
          <w:lang w:eastAsia="ar-SA"/>
        </w:rPr>
        <w:t>311</w:t>
      </w:r>
      <w:r w:rsidR="00C75336" w:rsidRPr="00400300">
        <w:rPr>
          <w:rFonts w:cs="Arial"/>
          <w:szCs w:val="24"/>
          <w:lang w:eastAsia="ar-SA"/>
        </w:rPr>
        <w:t>m</w:t>
      </w:r>
    </w:p>
    <w:p w:rsidR="00EB238C" w:rsidRDefault="00E11D90" w:rsidP="00957F91">
      <w:pPr>
        <w:suppressAutoHyphens/>
        <w:ind w:left="1134" w:hanging="425"/>
        <w:jc w:val="both"/>
        <w:rPr>
          <w:rFonts w:cs="Arial"/>
          <w:szCs w:val="24"/>
          <w:lang w:eastAsia="ar-SA"/>
        </w:rPr>
      </w:pPr>
      <w:r>
        <w:rPr>
          <w:rFonts w:cs="Arial"/>
          <w:szCs w:val="24"/>
          <w:lang w:eastAsia="ar-SA"/>
        </w:rPr>
        <w:t xml:space="preserve">      </w:t>
      </w:r>
      <w:r w:rsidR="00EB238C" w:rsidRPr="00EB238C">
        <w:rPr>
          <w:rFonts w:cs="Arial"/>
          <w:szCs w:val="24"/>
          <w:lang w:eastAsia="ar-SA"/>
        </w:rPr>
        <w:t>This is as a result of a contribution to the PFI sinking fund to ensure the PFI contract is affordable in future years and a provision for external legal and technical advisors to resolve the outstanding capital programme contractual issues</w:t>
      </w:r>
      <w:r w:rsidR="00EB238C">
        <w:rPr>
          <w:rFonts w:cs="Arial"/>
          <w:szCs w:val="24"/>
          <w:lang w:eastAsia="ar-SA"/>
        </w:rPr>
        <w:t>.</w:t>
      </w:r>
    </w:p>
    <w:p w:rsidR="00DD7BD4" w:rsidRDefault="00DD7BD4" w:rsidP="00400300">
      <w:pPr>
        <w:suppressAutoHyphens/>
        <w:ind w:left="1276" w:hanging="567"/>
        <w:jc w:val="both"/>
        <w:rPr>
          <w:rFonts w:cs="Arial"/>
          <w:szCs w:val="24"/>
          <w:lang w:eastAsia="ar-SA"/>
        </w:rPr>
      </w:pPr>
    </w:p>
    <w:p w:rsidR="00EB238C" w:rsidRPr="00957F91" w:rsidRDefault="00DD7BD4" w:rsidP="00957F91">
      <w:pPr>
        <w:pStyle w:val="ListParagraph"/>
        <w:numPr>
          <w:ilvl w:val="0"/>
          <w:numId w:val="171"/>
        </w:numPr>
        <w:suppressAutoHyphens/>
        <w:ind w:left="709" w:right="304" w:hanging="709"/>
        <w:jc w:val="both"/>
        <w:rPr>
          <w:rFonts w:cs="Arial"/>
          <w:szCs w:val="24"/>
          <w:lang w:eastAsia="ar-SA"/>
        </w:rPr>
      </w:pPr>
      <w:r w:rsidRPr="00994449">
        <w:rPr>
          <w:rFonts w:cs="Arial"/>
        </w:rPr>
        <w:t>The recommended carry forward requests of £0.143m are set out in Appendix 1</w:t>
      </w:r>
      <w:r w:rsidR="00994449" w:rsidRPr="00994449">
        <w:rPr>
          <w:rFonts w:cs="Arial"/>
        </w:rPr>
        <w:t>.</w:t>
      </w:r>
    </w:p>
    <w:p w:rsidR="00721A9C" w:rsidRPr="00994449" w:rsidRDefault="00721A9C" w:rsidP="00957F91">
      <w:pPr>
        <w:pStyle w:val="ListParagraph"/>
        <w:suppressAutoHyphens/>
        <w:ind w:left="786" w:right="304"/>
        <w:jc w:val="both"/>
        <w:rPr>
          <w:rFonts w:cs="Arial"/>
          <w:szCs w:val="24"/>
          <w:lang w:eastAsia="ar-SA"/>
        </w:rPr>
      </w:pPr>
    </w:p>
    <w:p w:rsidR="00C9478B" w:rsidRDefault="00C9478B" w:rsidP="00957F91">
      <w:pPr>
        <w:suppressAutoHyphens/>
        <w:ind w:left="1134" w:hanging="414"/>
        <w:jc w:val="both"/>
        <w:rPr>
          <w:rFonts w:cs="Arial"/>
          <w:b/>
          <w:szCs w:val="24"/>
          <w:lang w:eastAsia="ar-SA"/>
        </w:rPr>
      </w:pPr>
      <w:r w:rsidRPr="00C9478B">
        <w:rPr>
          <w:rFonts w:cs="Arial"/>
          <w:b/>
          <w:szCs w:val="24"/>
          <w:lang w:eastAsia="ar-SA"/>
        </w:rPr>
        <w:t>Dedicated Schools Grant (DSG)</w:t>
      </w:r>
    </w:p>
    <w:p w:rsidR="00B5430C" w:rsidRPr="00400300" w:rsidRDefault="00C9478B" w:rsidP="00957F91">
      <w:pPr>
        <w:pStyle w:val="ListParagraph"/>
        <w:numPr>
          <w:ilvl w:val="0"/>
          <w:numId w:val="171"/>
        </w:numPr>
        <w:suppressAutoHyphens/>
        <w:ind w:left="709" w:hanging="709"/>
        <w:jc w:val="both"/>
        <w:rPr>
          <w:rFonts w:cs="Arial"/>
          <w:b/>
          <w:szCs w:val="24"/>
          <w:lang w:eastAsia="ar-SA"/>
        </w:rPr>
      </w:pPr>
      <w:r w:rsidRPr="006E4931">
        <w:rPr>
          <w:rFonts w:cs="Arial"/>
          <w:szCs w:val="24"/>
          <w:lang w:eastAsia="ar-SA"/>
        </w:rPr>
        <w:t xml:space="preserve">The </w:t>
      </w:r>
      <w:r w:rsidRPr="00CE608E">
        <w:rPr>
          <w:rFonts w:cs="Arial"/>
          <w:szCs w:val="24"/>
          <w:lang w:eastAsia="ar-SA"/>
        </w:rPr>
        <w:t>Dedicated</w:t>
      </w:r>
      <w:r w:rsidRPr="006E4931">
        <w:rPr>
          <w:rFonts w:cs="Arial"/>
          <w:szCs w:val="24"/>
          <w:lang w:eastAsia="ar-SA"/>
        </w:rPr>
        <w:t xml:space="preserve"> Schools Grant (DSG) is a ring-fenced grant of which the majority is used to fund individual school budgets in maintained schools, academies and free schools in Harrow. It also funds Early Years nursery free entitlement places for 2, 3 and 4 year olds in maintained council nursery classes and private, voluntary and independent (PVI) nurseries as well as provision for pupils with High Needs including those with Education Health &amp; Care Plans (EHCPs) in special schools and special provision and mainstream schools in Harrow and out of borough. The DSG is split into blocks: schools block, early years block and high needs block.  The summary of the budget is detailed in table </w:t>
      </w:r>
      <w:r w:rsidR="0017736A">
        <w:rPr>
          <w:rFonts w:cs="Arial"/>
          <w:szCs w:val="24"/>
          <w:lang w:eastAsia="ar-SA"/>
        </w:rPr>
        <w:t>3</w:t>
      </w:r>
      <w:r w:rsidRPr="006E4931">
        <w:rPr>
          <w:rFonts w:cs="Arial"/>
          <w:szCs w:val="24"/>
          <w:lang w:eastAsia="ar-SA"/>
        </w:rPr>
        <w:t xml:space="preserve"> below:</w:t>
      </w:r>
    </w:p>
    <w:p w:rsidR="00291F5B" w:rsidRPr="006E4931" w:rsidRDefault="00291F5B" w:rsidP="00400300">
      <w:pPr>
        <w:pStyle w:val="ListParagraph"/>
        <w:suppressAutoHyphens/>
        <w:ind w:left="567"/>
        <w:jc w:val="both"/>
        <w:rPr>
          <w:rFonts w:cs="Arial"/>
          <w:b/>
          <w:szCs w:val="24"/>
          <w:lang w:eastAsia="ar-SA"/>
        </w:rPr>
      </w:pPr>
    </w:p>
    <w:p w:rsidR="00C9478B" w:rsidRPr="00400300" w:rsidRDefault="00351536">
      <w:pPr>
        <w:suppressAutoHyphens/>
        <w:ind w:firstLine="567"/>
        <w:jc w:val="both"/>
        <w:rPr>
          <w:rFonts w:cs="Arial"/>
          <w:b/>
          <w:szCs w:val="24"/>
          <w:u w:val="single"/>
          <w:lang w:eastAsia="ar-SA"/>
        </w:rPr>
      </w:pPr>
      <w:r>
        <w:rPr>
          <w:rFonts w:cs="Arial"/>
          <w:b/>
          <w:szCs w:val="24"/>
          <w:lang w:eastAsia="ar-SA"/>
        </w:rPr>
        <w:t xml:space="preserve">     </w:t>
      </w:r>
      <w:r w:rsidR="00C9478B" w:rsidRPr="00400300">
        <w:rPr>
          <w:rFonts w:cs="Arial"/>
          <w:b/>
          <w:szCs w:val="24"/>
          <w:u w:val="single"/>
          <w:lang w:eastAsia="ar-SA"/>
        </w:rPr>
        <w:t xml:space="preserve">Table </w:t>
      </w:r>
      <w:r w:rsidR="0017736A">
        <w:rPr>
          <w:rFonts w:cs="Arial"/>
          <w:b/>
          <w:szCs w:val="24"/>
          <w:u w:val="single"/>
          <w:lang w:eastAsia="ar-SA"/>
        </w:rPr>
        <w:t>3</w:t>
      </w:r>
      <w:r w:rsidR="00C9478B" w:rsidRPr="00400300">
        <w:rPr>
          <w:rFonts w:cs="Arial"/>
          <w:b/>
          <w:szCs w:val="24"/>
          <w:u w:val="single"/>
          <w:lang w:eastAsia="ar-SA"/>
        </w:rPr>
        <w:t>: Dedicated Schools Grant (DSG) Budget</w:t>
      </w:r>
    </w:p>
    <w:p w:rsidR="00C9478B" w:rsidRPr="00C9478B" w:rsidRDefault="00C9478B" w:rsidP="00957F91">
      <w:pPr>
        <w:suppressAutoHyphens/>
        <w:ind w:left="567"/>
        <w:jc w:val="both"/>
        <w:rPr>
          <w:rFonts w:cs="Arial"/>
          <w:b/>
          <w:szCs w:val="24"/>
          <w:lang w:eastAsia="ar-SA"/>
        </w:rPr>
      </w:pPr>
      <w:r>
        <w:rPr>
          <w:rFonts w:cs="Arial"/>
          <w:b/>
          <w:szCs w:val="24"/>
          <w:lang w:eastAsia="ar-SA"/>
        </w:rPr>
        <w:tab/>
      </w:r>
      <w:r w:rsidR="00994449">
        <w:rPr>
          <w:rFonts w:cs="Arial"/>
          <w:b/>
          <w:szCs w:val="24"/>
          <w:lang w:eastAsia="ar-SA"/>
        </w:rPr>
        <w:t xml:space="preserve">   </w:t>
      </w:r>
      <w:r w:rsidR="00994449">
        <w:rPr>
          <w:rFonts w:cs="Arial"/>
          <w:b/>
          <w:noProof/>
          <w:szCs w:val="24"/>
          <w:lang w:eastAsia="en-GB"/>
        </w:rPr>
        <w:drawing>
          <wp:inline distT="0" distB="0" distL="0" distR="0" wp14:anchorId="03B509E7" wp14:editId="534990A0">
            <wp:extent cx="5116235" cy="182880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6235" cy="1828800"/>
                    </a:xfrm>
                    <a:prstGeom prst="rect">
                      <a:avLst/>
                    </a:prstGeom>
                    <a:noFill/>
                  </pic:spPr>
                </pic:pic>
              </a:graphicData>
            </a:graphic>
          </wp:inline>
        </w:drawing>
      </w:r>
    </w:p>
    <w:p w:rsidR="00C9478B" w:rsidRDefault="00C9478B" w:rsidP="00400300">
      <w:pPr>
        <w:suppressAutoHyphens/>
        <w:jc w:val="both"/>
        <w:rPr>
          <w:rFonts w:cs="Arial"/>
          <w:szCs w:val="24"/>
          <w:lang w:eastAsia="ar-SA"/>
        </w:rPr>
      </w:pPr>
    </w:p>
    <w:p w:rsidR="00C9478B" w:rsidRDefault="00C9478B" w:rsidP="00957F91">
      <w:pPr>
        <w:pStyle w:val="ListParagraph"/>
        <w:numPr>
          <w:ilvl w:val="0"/>
          <w:numId w:val="171"/>
        </w:numPr>
        <w:suppressAutoHyphens/>
        <w:ind w:left="709" w:hanging="709"/>
        <w:jc w:val="both"/>
        <w:rPr>
          <w:rFonts w:cs="Arial"/>
          <w:szCs w:val="24"/>
          <w:lang w:eastAsia="ar-SA"/>
        </w:rPr>
      </w:pPr>
      <w:r>
        <w:rPr>
          <w:rFonts w:cs="Arial"/>
          <w:szCs w:val="24"/>
          <w:lang w:eastAsia="ar-SA"/>
        </w:rPr>
        <w:t>Explanation of the</w:t>
      </w:r>
      <w:r w:rsidRPr="002F6A2F">
        <w:rPr>
          <w:rFonts w:cs="Arial"/>
          <w:szCs w:val="24"/>
          <w:lang w:eastAsia="ar-SA"/>
        </w:rPr>
        <w:t xml:space="preserve"> main areas of </w:t>
      </w:r>
      <w:r>
        <w:rPr>
          <w:rFonts w:cs="Arial"/>
          <w:szCs w:val="24"/>
          <w:lang w:eastAsia="ar-SA"/>
        </w:rPr>
        <w:t>under</w:t>
      </w:r>
      <w:r w:rsidRPr="002F6A2F">
        <w:rPr>
          <w:rFonts w:cs="Arial"/>
          <w:szCs w:val="24"/>
          <w:lang w:eastAsia="ar-SA"/>
        </w:rPr>
        <w:t xml:space="preserve"> spend are detailed below:</w:t>
      </w:r>
    </w:p>
    <w:p w:rsidR="00C9478B" w:rsidRDefault="001A07CC" w:rsidP="00400300">
      <w:pPr>
        <w:pStyle w:val="ListParagraph"/>
        <w:tabs>
          <w:tab w:val="left" w:pos="2725"/>
        </w:tabs>
        <w:suppressAutoHyphens/>
        <w:ind w:left="360"/>
        <w:jc w:val="both"/>
        <w:rPr>
          <w:rFonts w:cs="Arial"/>
          <w:szCs w:val="24"/>
          <w:lang w:eastAsia="ar-SA"/>
        </w:rPr>
      </w:pPr>
      <w:r>
        <w:rPr>
          <w:rFonts w:cs="Arial"/>
          <w:szCs w:val="24"/>
          <w:lang w:eastAsia="ar-SA"/>
        </w:rPr>
        <w:tab/>
      </w:r>
    </w:p>
    <w:p w:rsidR="00C9478B" w:rsidRPr="00400300" w:rsidRDefault="00C9478B" w:rsidP="00957F91">
      <w:pPr>
        <w:pStyle w:val="ListParagraph"/>
        <w:numPr>
          <w:ilvl w:val="0"/>
          <w:numId w:val="146"/>
        </w:numPr>
        <w:tabs>
          <w:tab w:val="left" w:pos="0"/>
        </w:tabs>
        <w:spacing w:after="200" w:line="276" w:lineRule="auto"/>
        <w:ind w:left="1134" w:hanging="425"/>
        <w:jc w:val="both"/>
        <w:rPr>
          <w:rFonts w:cs="Arial"/>
        </w:rPr>
      </w:pPr>
      <w:r w:rsidRPr="00400300">
        <w:rPr>
          <w:rFonts w:cs="Arial"/>
        </w:rPr>
        <w:t xml:space="preserve">Schools Block </w:t>
      </w:r>
    </w:p>
    <w:p w:rsidR="00C9478B" w:rsidRDefault="00C9478B" w:rsidP="00351536">
      <w:pPr>
        <w:pStyle w:val="ListParagraph"/>
        <w:suppressAutoHyphens/>
        <w:ind w:left="1134"/>
        <w:jc w:val="both"/>
        <w:rPr>
          <w:rFonts w:cs="Arial"/>
        </w:rPr>
      </w:pPr>
      <w:r w:rsidRPr="006C612C">
        <w:rPr>
          <w:rFonts w:cs="Arial"/>
        </w:rPr>
        <w:t>In 2018-19 the government introduced a new National Funding Formula (NFF) for Schools, High Needs and the Central Schools Services Block. For the Schools Block this means that LAs are funded on the basis of the total of the national funding formula for all schools, academies and free schools in its area. However the final formula for distribution is determined by each Council following consultation with schools and Schools Forums. This funding is distributed to mainstream schools, academies and free schools in Harrow</w:t>
      </w:r>
      <w:r>
        <w:rPr>
          <w:rFonts w:cs="Arial"/>
        </w:rPr>
        <w:t>.</w:t>
      </w:r>
    </w:p>
    <w:p w:rsidR="00002AA3" w:rsidRDefault="00002AA3" w:rsidP="00400300">
      <w:pPr>
        <w:pStyle w:val="ListParagraph"/>
        <w:suppressAutoHyphens/>
        <w:ind w:left="1134"/>
        <w:jc w:val="both"/>
        <w:rPr>
          <w:rFonts w:cs="Arial"/>
        </w:rPr>
      </w:pPr>
    </w:p>
    <w:p w:rsidR="00C9478B" w:rsidRPr="00400300" w:rsidRDefault="00C9478B" w:rsidP="00957F91">
      <w:pPr>
        <w:pStyle w:val="ListParagraph"/>
        <w:numPr>
          <w:ilvl w:val="0"/>
          <w:numId w:val="146"/>
        </w:numPr>
        <w:suppressAutoHyphens/>
        <w:ind w:left="1134" w:hanging="425"/>
        <w:jc w:val="both"/>
        <w:rPr>
          <w:rFonts w:cs="Arial"/>
        </w:rPr>
      </w:pPr>
      <w:r w:rsidRPr="00400300">
        <w:rPr>
          <w:rFonts w:cs="Arial"/>
        </w:rPr>
        <w:t>Early Years Block</w:t>
      </w:r>
    </w:p>
    <w:p w:rsidR="00C9478B" w:rsidRDefault="006E4931" w:rsidP="00351536">
      <w:pPr>
        <w:pStyle w:val="ListParagraph"/>
        <w:suppressAutoHyphens/>
        <w:ind w:left="1134" w:hanging="425"/>
        <w:jc w:val="both"/>
        <w:rPr>
          <w:rFonts w:cs="Arial"/>
        </w:rPr>
      </w:pPr>
      <w:r>
        <w:rPr>
          <w:rFonts w:cs="Arial"/>
        </w:rPr>
        <w:t xml:space="preserve">       </w:t>
      </w:r>
      <w:r w:rsidR="00C9478B" w:rsidRPr="00C9478B">
        <w:rPr>
          <w:rFonts w:cs="Arial"/>
        </w:rPr>
        <w:t xml:space="preserve">Funding for Early Years relates to free 15 hour nursery entitlement for all 3 and 4 year olds in maintained nurseries and nursery classes as well as private, voluntary and independent providers (PVI). From September 2017 this was </w:t>
      </w:r>
      <w:r w:rsidR="00C9478B" w:rsidRPr="00C9478B">
        <w:rPr>
          <w:rFonts w:cs="Arial"/>
        </w:rPr>
        <w:lastRenderedPageBreak/>
        <w:t>extended to 30 hour nursery entitlement for eligible 3 and 4 year olds. It also funds free 15 hour nursery entitlement for disadvantage 2 year olds. Funding is distributed to providers via a formula for 3 and 4 year olds which calculates a universal hourly rate based on participation, deprivation as determined by the child’s postcode and quality and flexibility of provision. Funding for 2 year olds is distributed to providers via a fixed hourly rate based on participation. There is an overall underspend of £</w:t>
      </w:r>
      <w:r w:rsidR="00002AA3">
        <w:rPr>
          <w:rFonts w:cs="Arial"/>
        </w:rPr>
        <w:t>0.</w:t>
      </w:r>
      <w:r w:rsidR="00C9478B" w:rsidRPr="00C9478B">
        <w:rPr>
          <w:rFonts w:cs="Arial"/>
        </w:rPr>
        <w:t>543</w:t>
      </w:r>
      <w:r w:rsidR="00002AA3">
        <w:rPr>
          <w:rFonts w:cs="Arial"/>
        </w:rPr>
        <w:t>m</w:t>
      </w:r>
      <w:r w:rsidR="00C9478B" w:rsidRPr="00C9478B">
        <w:rPr>
          <w:rFonts w:cs="Arial"/>
        </w:rPr>
        <w:t xml:space="preserve"> due to fewer claims for funding from providers and additional funding allocated in year as a result of updated pupil numbers on the January 2018 census</w:t>
      </w:r>
      <w:r w:rsidR="00C9478B">
        <w:rPr>
          <w:rFonts w:cs="Arial"/>
        </w:rPr>
        <w:t>.</w:t>
      </w:r>
    </w:p>
    <w:p w:rsidR="00C9478B" w:rsidRDefault="00C9478B" w:rsidP="00400300">
      <w:pPr>
        <w:pStyle w:val="ListParagraph"/>
        <w:suppressAutoHyphens/>
        <w:ind w:left="1134"/>
        <w:jc w:val="both"/>
        <w:rPr>
          <w:rFonts w:cs="Arial"/>
        </w:rPr>
      </w:pPr>
    </w:p>
    <w:p w:rsidR="00C9478B" w:rsidRPr="00400300" w:rsidRDefault="00C9478B" w:rsidP="00957F91">
      <w:pPr>
        <w:pStyle w:val="ListParagraph"/>
        <w:numPr>
          <w:ilvl w:val="0"/>
          <w:numId w:val="146"/>
        </w:numPr>
        <w:suppressAutoHyphens/>
        <w:ind w:left="1134" w:hanging="425"/>
        <w:jc w:val="both"/>
        <w:rPr>
          <w:rFonts w:cs="Arial"/>
        </w:rPr>
      </w:pPr>
      <w:r w:rsidRPr="00400300">
        <w:rPr>
          <w:rFonts w:cs="Arial"/>
        </w:rPr>
        <w:t>High Needs Block</w:t>
      </w:r>
    </w:p>
    <w:p w:rsidR="00C9478B" w:rsidRPr="00C9478B" w:rsidRDefault="00C9478B" w:rsidP="00957F91">
      <w:pPr>
        <w:pStyle w:val="ListParagraph"/>
        <w:suppressAutoHyphens/>
        <w:ind w:left="1134"/>
        <w:jc w:val="both"/>
        <w:rPr>
          <w:rFonts w:cs="Arial"/>
          <w:b/>
        </w:rPr>
      </w:pPr>
      <w:r w:rsidRPr="00C9478B">
        <w:rPr>
          <w:rFonts w:cs="Arial"/>
        </w:rPr>
        <w:t xml:space="preserve">High Needs funding is designed to support a continuum of provision for pupils and students with special educational needs (SEN), learning difficulties and disabilities, from their early years to age 25. The following are funded from the High Needs Block: </w:t>
      </w:r>
    </w:p>
    <w:p w:rsidR="00C9478B" w:rsidRPr="00C9478B" w:rsidRDefault="00C9478B">
      <w:pPr>
        <w:pStyle w:val="ListParagraph"/>
        <w:numPr>
          <w:ilvl w:val="2"/>
          <w:numId w:val="160"/>
        </w:numPr>
        <w:suppressAutoHyphens/>
        <w:jc w:val="both"/>
        <w:rPr>
          <w:rFonts w:cs="Arial"/>
        </w:rPr>
      </w:pPr>
      <w:r w:rsidRPr="00C9478B">
        <w:rPr>
          <w:rFonts w:cs="Arial"/>
        </w:rPr>
        <w:t>Harrow special schools &amp; special academies</w:t>
      </w:r>
    </w:p>
    <w:p w:rsidR="00C9478B" w:rsidRPr="00C9478B" w:rsidRDefault="00C9478B">
      <w:pPr>
        <w:pStyle w:val="ListParagraph"/>
        <w:numPr>
          <w:ilvl w:val="2"/>
          <w:numId w:val="160"/>
        </w:numPr>
        <w:suppressAutoHyphens/>
        <w:jc w:val="both"/>
        <w:rPr>
          <w:rFonts w:cs="Arial"/>
        </w:rPr>
      </w:pPr>
      <w:r w:rsidRPr="00C9478B">
        <w:rPr>
          <w:rFonts w:cs="Arial"/>
        </w:rPr>
        <w:t>Additional resourced provision in Harrow mainstream schools &amp; academies</w:t>
      </w:r>
    </w:p>
    <w:p w:rsidR="00C9478B" w:rsidRPr="00C9478B" w:rsidRDefault="00C9478B">
      <w:pPr>
        <w:pStyle w:val="ListParagraph"/>
        <w:numPr>
          <w:ilvl w:val="2"/>
          <w:numId w:val="160"/>
        </w:numPr>
        <w:suppressAutoHyphens/>
        <w:jc w:val="both"/>
        <w:rPr>
          <w:rFonts w:cs="Arial"/>
        </w:rPr>
      </w:pPr>
      <w:r w:rsidRPr="00C9478B">
        <w:rPr>
          <w:rFonts w:cs="Arial"/>
        </w:rPr>
        <w:t>Places in out of borough special schools and independent special schools</w:t>
      </w:r>
    </w:p>
    <w:p w:rsidR="00C9478B" w:rsidRPr="00C9478B" w:rsidRDefault="00C9478B">
      <w:pPr>
        <w:pStyle w:val="ListParagraph"/>
        <w:numPr>
          <w:ilvl w:val="2"/>
          <w:numId w:val="160"/>
        </w:numPr>
        <w:suppressAutoHyphens/>
        <w:jc w:val="both"/>
        <w:rPr>
          <w:rFonts w:cs="Arial"/>
        </w:rPr>
      </w:pPr>
      <w:r w:rsidRPr="00C9478B">
        <w:rPr>
          <w:rFonts w:cs="Arial"/>
        </w:rPr>
        <w:t>Education Health &amp; Care Plans (EHCPs) in mainstream schools &amp; academies</w:t>
      </w:r>
    </w:p>
    <w:p w:rsidR="00C9478B" w:rsidRPr="00C9478B" w:rsidRDefault="00C9478B">
      <w:pPr>
        <w:pStyle w:val="ListParagraph"/>
        <w:numPr>
          <w:ilvl w:val="2"/>
          <w:numId w:val="160"/>
        </w:numPr>
        <w:suppressAutoHyphens/>
        <w:jc w:val="both"/>
        <w:rPr>
          <w:rFonts w:cs="Arial"/>
        </w:rPr>
      </w:pPr>
      <w:r w:rsidRPr="00C9478B">
        <w:rPr>
          <w:rFonts w:cs="Arial"/>
        </w:rPr>
        <w:t>Post 16 SEN expenditure including Further Education settings</w:t>
      </w:r>
    </w:p>
    <w:p w:rsidR="00C9478B" w:rsidRPr="00C9478B" w:rsidRDefault="00C9478B">
      <w:pPr>
        <w:pStyle w:val="ListParagraph"/>
        <w:numPr>
          <w:ilvl w:val="2"/>
          <w:numId w:val="160"/>
        </w:numPr>
        <w:suppressAutoHyphens/>
        <w:jc w:val="both"/>
        <w:rPr>
          <w:rFonts w:cs="Arial"/>
        </w:rPr>
      </w:pPr>
      <w:r w:rsidRPr="00C9478B">
        <w:rPr>
          <w:rFonts w:cs="Arial"/>
        </w:rPr>
        <w:t>SEN Support services and support for inclusion</w:t>
      </w:r>
    </w:p>
    <w:p w:rsidR="00C9478B" w:rsidRPr="00C9478B" w:rsidRDefault="00C9478B">
      <w:pPr>
        <w:pStyle w:val="ListParagraph"/>
        <w:numPr>
          <w:ilvl w:val="2"/>
          <w:numId w:val="160"/>
        </w:numPr>
        <w:suppressAutoHyphens/>
        <w:jc w:val="both"/>
        <w:rPr>
          <w:rFonts w:cs="Arial"/>
        </w:rPr>
      </w:pPr>
      <w:r w:rsidRPr="00C9478B">
        <w:rPr>
          <w:rFonts w:cs="Arial"/>
        </w:rPr>
        <w:t>Alternative provision including Pupil Referral Units and Education Other than at school</w:t>
      </w:r>
    </w:p>
    <w:p w:rsidR="00C9478B" w:rsidRPr="00C9478B" w:rsidRDefault="00C9478B">
      <w:pPr>
        <w:pStyle w:val="ListParagraph"/>
        <w:suppressAutoHyphens/>
        <w:ind w:left="1134"/>
        <w:jc w:val="both"/>
        <w:rPr>
          <w:rFonts w:cs="Arial"/>
        </w:rPr>
      </w:pPr>
    </w:p>
    <w:p w:rsidR="00C9478B" w:rsidRDefault="00C9478B" w:rsidP="00957F91">
      <w:pPr>
        <w:pStyle w:val="ListParagraph"/>
        <w:suppressAutoHyphens/>
        <w:ind w:left="1134"/>
        <w:jc w:val="both"/>
        <w:rPr>
          <w:rFonts w:cs="Arial"/>
        </w:rPr>
      </w:pPr>
      <w:r w:rsidRPr="00C9478B">
        <w:rPr>
          <w:rFonts w:cs="Arial"/>
        </w:rPr>
        <w:t>The High Needs Block budget is £30.576m after recoupment of place funding for academies/free schools and post 16 institutions and including the 0.5% transfer from the Schools Block agreed for 2018-19 and the additional High Needs funding announced by the Government in December 2018 (£</w:t>
      </w:r>
      <w:r w:rsidR="00002AA3">
        <w:rPr>
          <w:rFonts w:cs="Arial"/>
        </w:rPr>
        <w:t>0.606m</w:t>
      </w:r>
      <w:r w:rsidRPr="00C9478B">
        <w:rPr>
          <w:rFonts w:cs="Arial"/>
        </w:rPr>
        <w:t xml:space="preserve"> in 2018-19 and 2019-20). The final outturn is an over</w:t>
      </w:r>
      <w:r>
        <w:rPr>
          <w:rFonts w:cs="Arial"/>
        </w:rPr>
        <w:t xml:space="preserve"> </w:t>
      </w:r>
      <w:r w:rsidRPr="00C9478B">
        <w:rPr>
          <w:rFonts w:cs="Arial"/>
        </w:rPr>
        <w:t>spend by £</w:t>
      </w:r>
      <w:r w:rsidR="00002AA3">
        <w:rPr>
          <w:rFonts w:cs="Arial"/>
        </w:rPr>
        <w:t>0.</w:t>
      </w:r>
      <w:r w:rsidRPr="00C9478B">
        <w:rPr>
          <w:rFonts w:cs="Arial"/>
        </w:rPr>
        <w:t>986</w:t>
      </w:r>
      <w:r w:rsidR="00002AA3">
        <w:rPr>
          <w:rFonts w:cs="Arial"/>
        </w:rPr>
        <w:t>m</w:t>
      </w:r>
      <w:r>
        <w:rPr>
          <w:rFonts w:cs="Arial"/>
        </w:rPr>
        <w:t>.</w:t>
      </w:r>
    </w:p>
    <w:p w:rsidR="00C9478B" w:rsidRDefault="00C9478B" w:rsidP="00400300">
      <w:pPr>
        <w:pStyle w:val="ListParagraph"/>
        <w:suppressAutoHyphens/>
        <w:ind w:left="1134"/>
        <w:jc w:val="both"/>
        <w:rPr>
          <w:rFonts w:cs="Arial"/>
        </w:rPr>
      </w:pPr>
    </w:p>
    <w:p w:rsidR="00C9478B" w:rsidRDefault="00C9478B" w:rsidP="00957F91">
      <w:pPr>
        <w:pStyle w:val="ListParagraph"/>
        <w:numPr>
          <w:ilvl w:val="0"/>
          <w:numId w:val="24"/>
        </w:numPr>
        <w:suppressAutoHyphens/>
        <w:ind w:left="1134" w:hanging="425"/>
        <w:jc w:val="both"/>
        <w:rPr>
          <w:rFonts w:cs="Arial"/>
        </w:rPr>
      </w:pPr>
      <w:r w:rsidRPr="00A42B8B">
        <w:rPr>
          <w:rFonts w:cs="Arial"/>
        </w:rPr>
        <w:t xml:space="preserve">In 2018-19 the High Needs Block budget has been calculated using the new High Needs National Funding Formula which came into effect from April 2018. The High Needs Block National Funding </w:t>
      </w:r>
      <w:r w:rsidRPr="00CF36A4">
        <w:rPr>
          <w:rFonts w:cs="Arial"/>
        </w:rPr>
        <w:t>Formula in 2018-19 has generated funding which is £2.9m lower than the actual budget allocated to High Needs in 2017-18. This is partially due to the fact that the 50% of the overall allocation is based on previous years’ HNB allocations, rather than the a</w:t>
      </w:r>
      <w:r w:rsidRPr="009B55D6">
        <w:rPr>
          <w:rFonts w:cs="Arial"/>
        </w:rPr>
        <w:t>ctual spending on HNB. In 2018-19 this will be funded by an historica</w:t>
      </w:r>
      <w:r w:rsidRPr="00B439DF">
        <w:rPr>
          <w:rFonts w:cs="Arial"/>
        </w:rPr>
        <w:t>l contingency managed by Schools Forum</w:t>
      </w:r>
      <w:r w:rsidR="001A07CC">
        <w:rPr>
          <w:rFonts w:cs="Arial"/>
        </w:rPr>
        <w:t>.</w:t>
      </w:r>
    </w:p>
    <w:p w:rsidR="00002AA3" w:rsidRDefault="00002AA3" w:rsidP="00400300">
      <w:pPr>
        <w:pStyle w:val="ListParagraph"/>
        <w:suppressAutoHyphens/>
        <w:ind w:left="1134"/>
        <w:jc w:val="both"/>
        <w:rPr>
          <w:rFonts w:cs="Arial"/>
        </w:rPr>
      </w:pPr>
    </w:p>
    <w:p w:rsidR="001A07CC" w:rsidRDefault="001A07CC" w:rsidP="00957F91">
      <w:pPr>
        <w:pStyle w:val="ListParagraph"/>
        <w:numPr>
          <w:ilvl w:val="0"/>
          <w:numId w:val="24"/>
        </w:numPr>
        <w:suppressAutoHyphens/>
        <w:ind w:left="1134" w:hanging="425"/>
        <w:jc w:val="both"/>
        <w:rPr>
          <w:rFonts w:cs="Arial"/>
        </w:rPr>
      </w:pPr>
      <w:r w:rsidRPr="001A07CC">
        <w:rPr>
          <w:rFonts w:cs="Arial"/>
        </w:rPr>
        <w:t>There are significant pressures across London boroughs on the DSG attributed to in the main by a shortfall within the High Needs Block. In 2019-20 there is also predicted to be a shortfall in this budget. The LA has a statutory duty to make provision for children and young people with Special Educational Needs and Disabilities. It is recognised that the number of children and young people who require and are entitled to these services, as well as the price of those services, are increasing at a rate that outstrips the funding made available under current formulas</w:t>
      </w:r>
      <w:r>
        <w:rPr>
          <w:rFonts w:cs="Arial"/>
        </w:rPr>
        <w:t>.</w:t>
      </w:r>
    </w:p>
    <w:p w:rsidR="006E4931" w:rsidRPr="00A42B8B" w:rsidRDefault="006E4931" w:rsidP="00400300">
      <w:pPr>
        <w:pStyle w:val="ListParagraph"/>
        <w:jc w:val="both"/>
        <w:rPr>
          <w:rFonts w:cs="Arial"/>
        </w:rPr>
      </w:pPr>
    </w:p>
    <w:p w:rsidR="001A07CC" w:rsidRDefault="001A07CC" w:rsidP="00957F91">
      <w:pPr>
        <w:pStyle w:val="ListParagraph"/>
        <w:numPr>
          <w:ilvl w:val="0"/>
          <w:numId w:val="24"/>
        </w:numPr>
        <w:suppressAutoHyphens/>
        <w:ind w:left="1134" w:hanging="425"/>
        <w:jc w:val="both"/>
        <w:rPr>
          <w:rFonts w:cs="Arial"/>
        </w:rPr>
      </w:pPr>
      <w:r w:rsidRPr="001A07CC">
        <w:rPr>
          <w:rFonts w:cs="Arial"/>
        </w:rPr>
        <w:lastRenderedPageBreak/>
        <w:t>In 2019-20, there will be an over</w:t>
      </w:r>
      <w:r w:rsidR="00002AA3">
        <w:rPr>
          <w:rFonts w:cs="Arial"/>
        </w:rPr>
        <w:t xml:space="preserve"> </w:t>
      </w:r>
      <w:r w:rsidRPr="001A07CC">
        <w:rPr>
          <w:rFonts w:cs="Arial"/>
        </w:rPr>
        <w:t xml:space="preserve">spend on this budget which will be carried forward into the next or subsequent years. A 3 year recovery plan will be required by the </w:t>
      </w:r>
      <w:proofErr w:type="spellStart"/>
      <w:r w:rsidRPr="001A07CC">
        <w:rPr>
          <w:rFonts w:cs="Arial"/>
        </w:rPr>
        <w:t>DfE</w:t>
      </w:r>
      <w:proofErr w:type="spellEnd"/>
      <w:r w:rsidRPr="001A07CC">
        <w:rPr>
          <w:rFonts w:cs="Arial"/>
        </w:rPr>
        <w:t>. Plans are continuing to be developed to discover ways to be more efficient on spending on services for children and young people with Special Educational Needs and Disabilities, in particular focusing on increasing certain provision within the borough and thereby reducing the council’s reliance on expensive out-of-borough provision</w:t>
      </w:r>
      <w:r>
        <w:rPr>
          <w:rFonts w:cs="Arial"/>
        </w:rPr>
        <w:t>.</w:t>
      </w:r>
    </w:p>
    <w:p w:rsidR="001A07CC" w:rsidRDefault="001A07CC" w:rsidP="00400300">
      <w:pPr>
        <w:pStyle w:val="ListParagraph"/>
        <w:suppressAutoHyphens/>
        <w:ind w:left="1134"/>
        <w:jc w:val="both"/>
        <w:rPr>
          <w:rFonts w:cs="Arial"/>
        </w:rPr>
      </w:pPr>
    </w:p>
    <w:p w:rsidR="001A07CC" w:rsidRPr="006C612C" w:rsidRDefault="001A07CC" w:rsidP="00957F91">
      <w:pPr>
        <w:pStyle w:val="ListParagraph"/>
        <w:numPr>
          <w:ilvl w:val="0"/>
          <w:numId w:val="24"/>
        </w:numPr>
        <w:ind w:left="1134" w:hanging="425"/>
        <w:jc w:val="both"/>
        <w:rPr>
          <w:rFonts w:cs="Arial"/>
        </w:rPr>
      </w:pPr>
      <w:r w:rsidRPr="006C612C">
        <w:rPr>
          <w:rFonts w:cs="Arial"/>
        </w:rPr>
        <w:t>For Harrow there has been an increase in the HNB budget since 2013 of £5.128m (21%) compared with an increase in HNB spend of £8.090m (34%) over the same period and increase in Education Health and Care Plans from 1,168 January 2014 to nearly 1,700 October 2018 (46%).</w:t>
      </w:r>
    </w:p>
    <w:p w:rsidR="00C9478B" w:rsidRDefault="00C9478B" w:rsidP="00400300">
      <w:pPr>
        <w:pStyle w:val="ListParagraph"/>
        <w:suppressAutoHyphens/>
        <w:ind w:left="1134"/>
        <w:jc w:val="both"/>
        <w:rPr>
          <w:rFonts w:cs="Arial"/>
        </w:rPr>
      </w:pPr>
    </w:p>
    <w:p w:rsidR="001A07CC" w:rsidRDefault="001A07CC" w:rsidP="00957F91">
      <w:pPr>
        <w:pStyle w:val="ListParagraph"/>
        <w:numPr>
          <w:ilvl w:val="0"/>
          <w:numId w:val="171"/>
        </w:numPr>
        <w:suppressAutoHyphens/>
        <w:ind w:left="709" w:hanging="709"/>
        <w:jc w:val="both"/>
        <w:rPr>
          <w:rFonts w:cs="Arial"/>
          <w:szCs w:val="24"/>
          <w:lang w:eastAsia="ar-SA"/>
        </w:rPr>
      </w:pPr>
      <w:r w:rsidRPr="001A07CC">
        <w:rPr>
          <w:rFonts w:cs="Arial"/>
          <w:szCs w:val="24"/>
          <w:lang w:eastAsia="ar-SA"/>
        </w:rPr>
        <w:t>A recent survey showed that London boroughs had a total shortfall of £78m in 2017-18 compared with high needs allocations, with 32 out of 33 boroughs reporting a shortfall. 29 boroughs had a shortfall of over 1% of their high needs allocations. With allocations only increasing by 2.3% in 2018-19, and transfers of resources between DSG blocks now capped at 0.5%, councils will be increasingly reliant on using reserves and general funding to meet this shortfall, as well as carrying forward DSG deficits</w:t>
      </w:r>
      <w:r>
        <w:rPr>
          <w:rFonts w:cs="Arial"/>
          <w:szCs w:val="24"/>
          <w:lang w:eastAsia="ar-SA"/>
        </w:rPr>
        <w:t>.</w:t>
      </w:r>
    </w:p>
    <w:p w:rsidR="001A07CC" w:rsidRDefault="001A07CC" w:rsidP="00400300">
      <w:pPr>
        <w:pStyle w:val="ListParagraph"/>
        <w:suppressAutoHyphens/>
        <w:ind w:left="360"/>
        <w:jc w:val="both"/>
        <w:rPr>
          <w:rFonts w:cs="Arial"/>
          <w:szCs w:val="24"/>
          <w:lang w:eastAsia="ar-SA"/>
        </w:rPr>
      </w:pPr>
    </w:p>
    <w:p w:rsidR="001A07CC" w:rsidRPr="001A07CC" w:rsidRDefault="001A07CC" w:rsidP="00400300">
      <w:pPr>
        <w:pStyle w:val="ListParagraph"/>
        <w:suppressAutoHyphens/>
        <w:ind w:left="360" w:firstLine="360"/>
        <w:jc w:val="both"/>
        <w:rPr>
          <w:rFonts w:cs="Arial"/>
          <w:szCs w:val="24"/>
          <w:lang w:eastAsia="ar-SA"/>
        </w:rPr>
      </w:pPr>
      <w:r w:rsidRPr="001A07CC">
        <w:rPr>
          <w:rFonts w:cs="Arial"/>
          <w:szCs w:val="24"/>
          <w:lang w:eastAsia="ar-SA"/>
        </w:rPr>
        <w:t xml:space="preserve">Growth </w:t>
      </w:r>
      <w:r w:rsidR="00F44B55">
        <w:rPr>
          <w:rFonts w:cs="Arial"/>
          <w:szCs w:val="24"/>
          <w:lang w:eastAsia="ar-SA"/>
        </w:rPr>
        <w:t>Fund</w:t>
      </w:r>
    </w:p>
    <w:p w:rsidR="001A07CC" w:rsidRPr="00400300" w:rsidRDefault="001A07CC" w:rsidP="00957F91">
      <w:pPr>
        <w:pStyle w:val="ListParagraph"/>
        <w:numPr>
          <w:ilvl w:val="0"/>
          <w:numId w:val="171"/>
        </w:numPr>
        <w:suppressAutoHyphens/>
        <w:ind w:left="709" w:hanging="709"/>
        <w:jc w:val="both"/>
        <w:rPr>
          <w:rFonts w:cs="Arial"/>
          <w:szCs w:val="24"/>
          <w:lang w:eastAsia="ar-SA"/>
        </w:rPr>
      </w:pPr>
      <w:r w:rsidRPr="006C612C">
        <w:rPr>
          <w:rFonts w:cs="Arial"/>
        </w:rPr>
        <w:t>£1.565m was earmarked for schools taking expansion classes from September 2018. Included in this budget was also a contingency for additional bulge classes in other year groups. The underspend relates to clawback of bulge class funding where the bulge has moved out the top of the school and additional in year bulge classes that were not required this financial year</w:t>
      </w:r>
      <w:r>
        <w:rPr>
          <w:rFonts w:cs="Arial"/>
        </w:rPr>
        <w:t>.</w:t>
      </w:r>
    </w:p>
    <w:p w:rsidR="00620A36" w:rsidRDefault="00620A36">
      <w:pPr>
        <w:suppressAutoHyphens/>
        <w:jc w:val="both"/>
        <w:rPr>
          <w:rFonts w:cs="Arial"/>
          <w:b/>
          <w:szCs w:val="24"/>
          <w:lang w:eastAsia="ar-SA"/>
        </w:rPr>
      </w:pPr>
    </w:p>
    <w:p w:rsidR="00F20A96" w:rsidRDefault="00F20A96">
      <w:pPr>
        <w:suppressAutoHyphens/>
        <w:jc w:val="both"/>
        <w:rPr>
          <w:rFonts w:cs="Arial"/>
          <w:b/>
          <w:szCs w:val="24"/>
          <w:lang w:eastAsia="ar-SA"/>
        </w:rPr>
      </w:pPr>
    </w:p>
    <w:p w:rsidR="002F6A2F" w:rsidRDefault="002F6A2F" w:rsidP="00957F91">
      <w:pPr>
        <w:pStyle w:val="ListParagraph"/>
        <w:spacing w:after="200" w:line="276" w:lineRule="auto"/>
        <w:ind w:left="709"/>
        <w:jc w:val="both"/>
        <w:rPr>
          <w:rFonts w:cs="Arial"/>
          <w:b/>
          <w:szCs w:val="24"/>
          <w:lang w:eastAsia="ar-SA"/>
        </w:rPr>
      </w:pPr>
      <w:r w:rsidRPr="00CF0F44">
        <w:rPr>
          <w:rFonts w:cs="Arial"/>
          <w:b/>
          <w:szCs w:val="24"/>
          <w:lang w:eastAsia="ar-SA"/>
        </w:rPr>
        <w:t>Public Health</w:t>
      </w:r>
    </w:p>
    <w:p w:rsidR="00976527" w:rsidRDefault="00976527" w:rsidP="00957F91">
      <w:pPr>
        <w:pStyle w:val="ListParagraph"/>
        <w:numPr>
          <w:ilvl w:val="0"/>
          <w:numId w:val="171"/>
        </w:numPr>
        <w:suppressAutoHyphens/>
        <w:spacing w:after="200" w:line="276" w:lineRule="auto"/>
        <w:ind w:left="709" w:hanging="695"/>
        <w:jc w:val="both"/>
        <w:rPr>
          <w:rFonts w:cs="Arial"/>
          <w:szCs w:val="24"/>
          <w:lang w:eastAsia="ar-SA"/>
        </w:rPr>
      </w:pPr>
      <w:r w:rsidRPr="00976527">
        <w:rPr>
          <w:rFonts w:cs="Arial"/>
          <w:szCs w:val="24"/>
          <w:lang w:eastAsia="ar-SA"/>
        </w:rPr>
        <w:t>Public Health is reporting an under</w:t>
      </w:r>
      <w:r>
        <w:rPr>
          <w:rFonts w:cs="Arial"/>
          <w:szCs w:val="24"/>
          <w:lang w:eastAsia="ar-SA"/>
        </w:rPr>
        <w:t xml:space="preserve"> </w:t>
      </w:r>
      <w:r w:rsidRPr="00976527">
        <w:rPr>
          <w:rFonts w:cs="Arial"/>
          <w:szCs w:val="24"/>
          <w:lang w:eastAsia="ar-SA"/>
        </w:rPr>
        <w:t>spend of (£</w:t>
      </w:r>
      <w:r>
        <w:rPr>
          <w:rFonts w:cs="Arial"/>
          <w:szCs w:val="24"/>
          <w:lang w:eastAsia="ar-SA"/>
        </w:rPr>
        <w:t>0.</w:t>
      </w:r>
      <w:r w:rsidR="00CD5B2D">
        <w:rPr>
          <w:rFonts w:cs="Arial"/>
          <w:szCs w:val="24"/>
          <w:lang w:eastAsia="ar-SA"/>
        </w:rPr>
        <w:t>25</w:t>
      </w:r>
      <w:r w:rsidR="00003093">
        <w:rPr>
          <w:rFonts w:cs="Arial"/>
          <w:szCs w:val="24"/>
          <w:lang w:eastAsia="ar-SA"/>
        </w:rPr>
        <w:t>1</w:t>
      </w:r>
      <w:r>
        <w:rPr>
          <w:rFonts w:cs="Arial"/>
          <w:szCs w:val="24"/>
          <w:lang w:eastAsia="ar-SA"/>
        </w:rPr>
        <w:t>m</w:t>
      </w:r>
      <w:r w:rsidRPr="00976527">
        <w:rPr>
          <w:rFonts w:cs="Arial"/>
          <w:szCs w:val="24"/>
          <w:lang w:eastAsia="ar-SA"/>
        </w:rPr>
        <w:t>) after making a contribution to the specific public health reserve of £</w:t>
      </w:r>
      <w:r>
        <w:rPr>
          <w:rFonts w:cs="Arial"/>
          <w:szCs w:val="24"/>
          <w:lang w:eastAsia="ar-SA"/>
        </w:rPr>
        <w:t>0.</w:t>
      </w:r>
      <w:r w:rsidRPr="00976527">
        <w:rPr>
          <w:rFonts w:cs="Arial"/>
          <w:szCs w:val="24"/>
          <w:lang w:eastAsia="ar-SA"/>
        </w:rPr>
        <w:t>425</w:t>
      </w:r>
      <w:r>
        <w:rPr>
          <w:rFonts w:cs="Arial"/>
          <w:szCs w:val="24"/>
          <w:lang w:eastAsia="ar-SA"/>
        </w:rPr>
        <w:t>m</w:t>
      </w:r>
      <w:r w:rsidRPr="00976527">
        <w:rPr>
          <w:rFonts w:cs="Arial"/>
          <w:szCs w:val="24"/>
          <w:lang w:eastAsia="ar-SA"/>
        </w:rPr>
        <w:t>.  The in</w:t>
      </w:r>
      <w:r>
        <w:rPr>
          <w:rFonts w:cs="Arial"/>
          <w:szCs w:val="24"/>
          <w:lang w:eastAsia="ar-SA"/>
        </w:rPr>
        <w:t>-</w:t>
      </w:r>
      <w:r w:rsidRPr="00976527">
        <w:rPr>
          <w:rFonts w:cs="Arial"/>
          <w:szCs w:val="24"/>
          <w:lang w:eastAsia="ar-SA"/>
        </w:rPr>
        <w:t>year underspend reflecting the main a lower level of expenditure in relation to sexual health services</w:t>
      </w:r>
      <w:r w:rsidR="00003093">
        <w:rPr>
          <w:rFonts w:cs="Arial"/>
          <w:szCs w:val="24"/>
          <w:lang w:eastAsia="ar-SA"/>
        </w:rPr>
        <w:t xml:space="preserve"> representing the full</w:t>
      </w:r>
      <w:r w:rsidRPr="00976527">
        <w:rPr>
          <w:rFonts w:cs="Arial"/>
          <w:szCs w:val="24"/>
          <w:lang w:eastAsia="ar-SA"/>
        </w:rPr>
        <w:t xml:space="preserve"> year effect of the contract re</w:t>
      </w:r>
      <w:r>
        <w:rPr>
          <w:rFonts w:cs="Arial"/>
          <w:szCs w:val="24"/>
          <w:lang w:eastAsia="ar-SA"/>
        </w:rPr>
        <w:t>-</w:t>
      </w:r>
      <w:r w:rsidR="001F67BC">
        <w:rPr>
          <w:rFonts w:cs="Arial"/>
          <w:szCs w:val="24"/>
          <w:lang w:eastAsia="ar-SA"/>
        </w:rPr>
        <w:t>procured during 20</w:t>
      </w:r>
      <w:r w:rsidR="009C666C">
        <w:rPr>
          <w:rFonts w:cs="Arial"/>
          <w:szCs w:val="24"/>
          <w:lang w:eastAsia="ar-SA"/>
        </w:rPr>
        <w:t>17/18</w:t>
      </w:r>
      <w:r w:rsidRPr="00976527">
        <w:rPr>
          <w:rFonts w:cs="Arial"/>
          <w:szCs w:val="24"/>
          <w:lang w:eastAsia="ar-SA"/>
        </w:rPr>
        <w:t>, and enables an increase in the funding of the wider determinants of health</w:t>
      </w:r>
      <w:r>
        <w:rPr>
          <w:rFonts w:cs="Arial"/>
          <w:szCs w:val="24"/>
          <w:lang w:eastAsia="ar-SA"/>
        </w:rPr>
        <w:t>.</w:t>
      </w:r>
    </w:p>
    <w:p w:rsidR="00976527" w:rsidRDefault="00976527" w:rsidP="00400300">
      <w:pPr>
        <w:pStyle w:val="ListParagraph"/>
        <w:jc w:val="both"/>
        <w:rPr>
          <w:rFonts w:cs="Arial"/>
          <w:szCs w:val="24"/>
          <w:lang w:eastAsia="ar-SA"/>
        </w:rPr>
      </w:pPr>
    </w:p>
    <w:p w:rsidR="0074679A" w:rsidRDefault="00CF0F44" w:rsidP="00957F91">
      <w:pPr>
        <w:suppressAutoHyphens/>
        <w:spacing w:after="200" w:line="276" w:lineRule="auto"/>
        <w:ind w:firstLine="709"/>
        <w:jc w:val="both"/>
        <w:rPr>
          <w:rFonts w:cs="Arial"/>
          <w:b/>
          <w:szCs w:val="24"/>
          <w:lang w:eastAsia="ar-SA"/>
        </w:rPr>
      </w:pPr>
      <w:r w:rsidRPr="002F6A2F">
        <w:rPr>
          <w:rFonts w:cs="Arial"/>
          <w:szCs w:val="24"/>
          <w:lang w:eastAsia="ar-SA"/>
        </w:rPr>
        <w:t xml:space="preserve"> </w:t>
      </w:r>
      <w:r w:rsidR="0074679A" w:rsidRPr="00AA3B74">
        <w:rPr>
          <w:rFonts w:cs="Arial"/>
          <w:b/>
          <w:szCs w:val="24"/>
          <w:lang w:eastAsia="ar-SA"/>
        </w:rPr>
        <w:t>CORPORATE ITEMS</w:t>
      </w:r>
    </w:p>
    <w:p w:rsidR="0074679A" w:rsidRPr="00AA3B74" w:rsidRDefault="0074679A" w:rsidP="00957F91">
      <w:pPr>
        <w:pStyle w:val="ListParagraph"/>
        <w:suppressAutoHyphens/>
        <w:spacing w:after="200" w:line="276" w:lineRule="auto"/>
        <w:ind w:left="709"/>
        <w:jc w:val="both"/>
        <w:rPr>
          <w:rFonts w:cs="Arial"/>
          <w:b/>
          <w:szCs w:val="24"/>
          <w:lang w:eastAsia="ar-SA"/>
        </w:rPr>
      </w:pPr>
      <w:r w:rsidRPr="00AA3B74">
        <w:rPr>
          <w:rFonts w:cs="Arial"/>
          <w:b/>
          <w:szCs w:val="24"/>
          <w:lang w:eastAsia="ar-SA"/>
        </w:rPr>
        <w:t xml:space="preserve">Corporate Items </w:t>
      </w:r>
    </w:p>
    <w:p w:rsidR="00F20A96" w:rsidRDefault="00AE64CC" w:rsidP="00957F91">
      <w:pPr>
        <w:pStyle w:val="ListParagraph"/>
        <w:numPr>
          <w:ilvl w:val="0"/>
          <w:numId w:val="171"/>
        </w:numPr>
        <w:suppressAutoHyphens/>
        <w:spacing w:after="200" w:line="276" w:lineRule="auto"/>
        <w:ind w:left="709" w:hanging="709"/>
        <w:jc w:val="both"/>
        <w:rPr>
          <w:rFonts w:cs="Arial"/>
          <w:szCs w:val="24"/>
          <w:lang w:eastAsia="ar-SA"/>
        </w:rPr>
      </w:pPr>
      <w:r>
        <w:rPr>
          <w:rFonts w:cs="Arial"/>
          <w:szCs w:val="24"/>
          <w:lang w:eastAsia="ar-SA"/>
        </w:rPr>
        <w:t xml:space="preserve">Corporate items underspent by </w:t>
      </w:r>
      <w:r w:rsidR="00D27D69">
        <w:rPr>
          <w:rFonts w:cs="Arial"/>
          <w:szCs w:val="24"/>
          <w:lang w:eastAsia="ar-SA"/>
        </w:rPr>
        <w:t>(</w:t>
      </w:r>
      <w:r>
        <w:rPr>
          <w:rFonts w:cs="Arial"/>
          <w:szCs w:val="24"/>
          <w:lang w:eastAsia="ar-SA"/>
        </w:rPr>
        <w:t>£1.71</w:t>
      </w:r>
      <w:r w:rsidR="00CA51E0">
        <w:rPr>
          <w:rFonts w:cs="Arial"/>
          <w:szCs w:val="24"/>
          <w:lang w:eastAsia="ar-SA"/>
        </w:rPr>
        <w:t>6</w:t>
      </w:r>
      <w:r>
        <w:rPr>
          <w:rFonts w:cs="Arial"/>
          <w:szCs w:val="24"/>
          <w:lang w:eastAsia="ar-SA"/>
        </w:rPr>
        <w:t>m</w:t>
      </w:r>
      <w:r w:rsidR="00D27D69">
        <w:rPr>
          <w:rFonts w:cs="Arial"/>
          <w:szCs w:val="24"/>
          <w:lang w:eastAsia="ar-SA"/>
        </w:rPr>
        <w:t>)</w:t>
      </w:r>
      <w:r w:rsidR="002876BF">
        <w:rPr>
          <w:rFonts w:cs="Arial"/>
          <w:szCs w:val="24"/>
          <w:lang w:eastAsia="ar-SA"/>
        </w:rPr>
        <w:t xml:space="preserve"> as follows</w:t>
      </w:r>
      <w:r>
        <w:rPr>
          <w:rFonts w:cs="Arial"/>
          <w:szCs w:val="24"/>
          <w:lang w:eastAsia="ar-SA"/>
        </w:rPr>
        <w:t>:</w:t>
      </w:r>
    </w:p>
    <w:p w:rsidR="0074679A" w:rsidRDefault="0074679A" w:rsidP="00957F91">
      <w:pPr>
        <w:pStyle w:val="ListParagraph"/>
        <w:suppressAutoHyphens/>
        <w:spacing w:after="200" w:line="276" w:lineRule="auto"/>
        <w:ind w:left="709"/>
        <w:jc w:val="both"/>
        <w:rPr>
          <w:rFonts w:cs="Arial"/>
          <w:szCs w:val="24"/>
          <w:lang w:eastAsia="ar-SA"/>
        </w:rPr>
      </w:pPr>
    </w:p>
    <w:p w:rsidR="0074679A" w:rsidRDefault="0074679A" w:rsidP="00957F91">
      <w:pPr>
        <w:pStyle w:val="ListParagraph"/>
        <w:numPr>
          <w:ilvl w:val="0"/>
          <w:numId w:val="107"/>
        </w:numPr>
        <w:suppressAutoHyphens/>
        <w:spacing w:after="200" w:line="276" w:lineRule="auto"/>
        <w:ind w:left="1134" w:hanging="425"/>
        <w:jc w:val="both"/>
        <w:rPr>
          <w:rFonts w:cs="Arial"/>
          <w:szCs w:val="24"/>
          <w:lang w:eastAsia="ar-SA"/>
        </w:rPr>
      </w:pPr>
      <w:r w:rsidRPr="0074679A">
        <w:rPr>
          <w:rFonts w:cs="Arial"/>
          <w:szCs w:val="24"/>
          <w:lang w:eastAsia="ar-SA"/>
        </w:rPr>
        <w:t>(£0.</w:t>
      </w:r>
      <w:r w:rsidR="00A40AF2">
        <w:rPr>
          <w:rFonts w:cs="Arial"/>
          <w:szCs w:val="24"/>
          <w:lang w:eastAsia="ar-SA"/>
        </w:rPr>
        <w:t>058</w:t>
      </w:r>
      <w:r w:rsidRPr="0074679A">
        <w:rPr>
          <w:rFonts w:cs="Arial"/>
          <w:szCs w:val="24"/>
          <w:lang w:eastAsia="ar-SA"/>
        </w:rPr>
        <w:t>m) under</w:t>
      </w:r>
      <w:r w:rsidR="007E1B2D">
        <w:rPr>
          <w:rFonts w:cs="Arial"/>
          <w:szCs w:val="24"/>
          <w:lang w:eastAsia="ar-SA"/>
        </w:rPr>
        <w:t xml:space="preserve"> </w:t>
      </w:r>
      <w:r w:rsidRPr="0074679A">
        <w:rPr>
          <w:rFonts w:cs="Arial"/>
          <w:szCs w:val="24"/>
          <w:lang w:eastAsia="ar-SA"/>
        </w:rPr>
        <w:t xml:space="preserve">spend against the £0.400m </w:t>
      </w:r>
      <w:r w:rsidR="0003265C">
        <w:rPr>
          <w:rFonts w:cs="Arial"/>
          <w:szCs w:val="24"/>
          <w:lang w:eastAsia="ar-SA"/>
        </w:rPr>
        <w:t>budget to fund</w:t>
      </w:r>
      <w:r w:rsidRPr="0074679A">
        <w:rPr>
          <w:rFonts w:cs="Arial"/>
          <w:szCs w:val="24"/>
          <w:lang w:eastAsia="ar-SA"/>
        </w:rPr>
        <w:t xml:space="preserve"> the Appre</w:t>
      </w:r>
      <w:r w:rsidR="004E50D3">
        <w:rPr>
          <w:rFonts w:cs="Arial"/>
          <w:szCs w:val="24"/>
          <w:lang w:eastAsia="ar-SA"/>
        </w:rPr>
        <w:t>n</w:t>
      </w:r>
      <w:r w:rsidRPr="0074679A">
        <w:rPr>
          <w:rFonts w:cs="Arial"/>
          <w:szCs w:val="24"/>
          <w:lang w:eastAsia="ar-SA"/>
        </w:rPr>
        <w:t>t</w:t>
      </w:r>
      <w:r w:rsidR="00A920D8">
        <w:rPr>
          <w:rFonts w:cs="Arial"/>
          <w:szCs w:val="24"/>
          <w:lang w:eastAsia="ar-SA"/>
        </w:rPr>
        <w:t>ice</w:t>
      </w:r>
      <w:r w:rsidRPr="0074679A">
        <w:rPr>
          <w:rFonts w:cs="Arial"/>
          <w:szCs w:val="24"/>
          <w:lang w:eastAsia="ar-SA"/>
        </w:rPr>
        <w:t>ship levy.</w:t>
      </w:r>
    </w:p>
    <w:p w:rsidR="002876BF" w:rsidRDefault="002876BF" w:rsidP="00957F91">
      <w:pPr>
        <w:pStyle w:val="ListParagraph"/>
        <w:suppressAutoHyphens/>
        <w:spacing w:after="200" w:line="276" w:lineRule="auto"/>
        <w:ind w:left="734"/>
        <w:jc w:val="both"/>
        <w:rPr>
          <w:rFonts w:cs="Arial"/>
          <w:szCs w:val="24"/>
          <w:lang w:eastAsia="ar-SA"/>
        </w:rPr>
      </w:pPr>
    </w:p>
    <w:p w:rsidR="0074679A" w:rsidRDefault="0074679A" w:rsidP="00957F91">
      <w:pPr>
        <w:pStyle w:val="ListParagraph"/>
        <w:numPr>
          <w:ilvl w:val="0"/>
          <w:numId w:val="107"/>
        </w:numPr>
        <w:suppressAutoHyphens/>
        <w:spacing w:after="200" w:line="276" w:lineRule="auto"/>
        <w:ind w:left="1134" w:hanging="425"/>
        <w:jc w:val="both"/>
        <w:rPr>
          <w:rFonts w:cs="Arial"/>
          <w:szCs w:val="24"/>
          <w:lang w:eastAsia="ar-SA"/>
        </w:rPr>
      </w:pPr>
      <w:r w:rsidRPr="0074679A">
        <w:rPr>
          <w:rFonts w:cs="Arial"/>
          <w:szCs w:val="24"/>
          <w:lang w:eastAsia="ar-SA"/>
        </w:rPr>
        <w:t>(£0.</w:t>
      </w:r>
      <w:r w:rsidR="00A40AF2">
        <w:rPr>
          <w:rFonts w:cs="Arial"/>
          <w:szCs w:val="24"/>
          <w:lang w:eastAsia="ar-SA"/>
        </w:rPr>
        <w:t>768</w:t>
      </w:r>
      <w:r w:rsidRPr="0074679A">
        <w:rPr>
          <w:rFonts w:cs="Arial"/>
          <w:szCs w:val="24"/>
          <w:lang w:eastAsia="ar-SA"/>
        </w:rPr>
        <w:t>m) write back on the Good Received Invoice Received suspense account.</w:t>
      </w:r>
    </w:p>
    <w:p w:rsidR="001822D7" w:rsidRPr="0038627D" w:rsidRDefault="001822D7">
      <w:pPr>
        <w:pStyle w:val="ListParagraph"/>
        <w:jc w:val="both"/>
        <w:rPr>
          <w:rFonts w:cs="Arial"/>
          <w:szCs w:val="24"/>
          <w:lang w:eastAsia="ar-SA"/>
        </w:rPr>
      </w:pPr>
    </w:p>
    <w:p w:rsidR="0074679A" w:rsidRDefault="004E50D3" w:rsidP="00957F91">
      <w:pPr>
        <w:pStyle w:val="ListParagraph"/>
        <w:numPr>
          <w:ilvl w:val="0"/>
          <w:numId w:val="107"/>
        </w:numPr>
        <w:suppressAutoHyphens/>
        <w:spacing w:after="200" w:line="276" w:lineRule="auto"/>
        <w:ind w:left="1134" w:hanging="425"/>
        <w:jc w:val="both"/>
        <w:rPr>
          <w:rFonts w:cs="Arial"/>
          <w:szCs w:val="24"/>
          <w:lang w:eastAsia="ar-SA"/>
        </w:rPr>
      </w:pPr>
      <w:r>
        <w:rPr>
          <w:rFonts w:cs="Arial"/>
          <w:szCs w:val="24"/>
          <w:lang w:eastAsia="ar-SA"/>
        </w:rPr>
        <w:t>(</w:t>
      </w:r>
      <w:r w:rsidR="0074679A" w:rsidRPr="0074679A">
        <w:rPr>
          <w:rFonts w:cs="Arial"/>
          <w:szCs w:val="24"/>
          <w:lang w:eastAsia="ar-SA"/>
        </w:rPr>
        <w:t>£0.</w:t>
      </w:r>
      <w:r w:rsidR="00A12BF6">
        <w:rPr>
          <w:rFonts w:cs="Arial"/>
          <w:szCs w:val="24"/>
          <w:lang w:eastAsia="ar-SA"/>
        </w:rPr>
        <w:t>307</w:t>
      </w:r>
      <w:r w:rsidR="0074679A" w:rsidRPr="0074679A">
        <w:rPr>
          <w:rFonts w:cs="Arial"/>
          <w:szCs w:val="24"/>
          <w:lang w:eastAsia="ar-SA"/>
        </w:rPr>
        <w:t xml:space="preserve">m) is due to </w:t>
      </w:r>
      <w:r w:rsidR="00AE64CC">
        <w:rPr>
          <w:rFonts w:cs="Arial"/>
          <w:szCs w:val="24"/>
          <w:lang w:eastAsia="ar-SA"/>
        </w:rPr>
        <w:t xml:space="preserve">the </w:t>
      </w:r>
      <w:r w:rsidR="0074679A" w:rsidRPr="0074679A">
        <w:rPr>
          <w:rFonts w:cs="Arial"/>
          <w:szCs w:val="24"/>
          <w:lang w:eastAsia="ar-SA"/>
        </w:rPr>
        <w:t>2018</w:t>
      </w:r>
      <w:r w:rsidR="00A40AF2">
        <w:rPr>
          <w:rFonts w:cs="Arial"/>
          <w:szCs w:val="24"/>
          <w:lang w:eastAsia="ar-SA"/>
        </w:rPr>
        <w:t>/19</w:t>
      </w:r>
      <w:r w:rsidR="0074679A" w:rsidRPr="0074679A">
        <w:rPr>
          <w:rFonts w:cs="Arial"/>
          <w:szCs w:val="24"/>
          <w:lang w:eastAsia="ar-SA"/>
        </w:rPr>
        <w:t xml:space="preserve"> Employ</w:t>
      </w:r>
      <w:r>
        <w:rPr>
          <w:rFonts w:cs="Arial"/>
          <w:szCs w:val="24"/>
          <w:lang w:eastAsia="ar-SA"/>
        </w:rPr>
        <w:t xml:space="preserve">er’s contribution adjustment which is a result </w:t>
      </w:r>
      <w:r w:rsidR="006A2EC2">
        <w:rPr>
          <w:rFonts w:cs="Arial"/>
          <w:szCs w:val="24"/>
          <w:lang w:eastAsia="ar-SA"/>
        </w:rPr>
        <w:t xml:space="preserve">of </w:t>
      </w:r>
      <w:r w:rsidR="006A2EC2" w:rsidRPr="0074679A">
        <w:rPr>
          <w:rFonts w:cs="Arial"/>
          <w:szCs w:val="24"/>
          <w:lang w:eastAsia="ar-SA"/>
        </w:rPr>
        <w:t>over</w:t>
      </w:r>
      <w:r w:rsidR="0074679A" w:rsidRPr="0074679A">
        <w:rPr>
          <w:rFonts w:cs="Arial"/>
          <w:szCs w:val="24"/>
          <w:lang w:eastAsia="ar-SA"/>
        </w:rPr>
        <w:t xml:space="preserve"> recovery of pension contribution</w:t>
      </w:r>
      <w:r>
        <w:rPr>
          <w:rFonts w:cs="Arial"/>
          <w:szCs w:val="24"/>
          <w:lang w:eastAsia="ar-SA"/>
        </w:rPr>
        <w:t>s</w:t>
      </w:r>
      <w:r w:rsidR="0074679A">
        <w:rPr>
          <w:rFonts w:cs="Arial"/>
          <w:szCs w:val="24"/>
          <w:lang w:eastAsia="ar-SA"/>
        </w:rPr>
        <w:t>.</w:t>
      </w:r>
    </w:p>
    <w:p w:rsidR="001822D7" w:rsidRPr="0038627D" w:rsidRDefault="001822D7">
      <w:pPr>
        <w:pStyle w:val="ListParagraph"/>
        <w:jc w:val="both"/>
        <w:rPr>
          <w:rFonts w:cs="Arial"/>
          <w:szCs w:val="24"/>
          <w:lang w:eastAsia="ar-SA"/>
        </w:rPr>
      </w:pPr>
    </w:p>
    <w:p w:rsidR="0074679A" w:rsidRDefault="007A7ECD" w:rsidP="00957F91">
      <w:pPr>
        <w:pStyle w:val="ListParagraph"/>
        <w:numPr>
          <w:ilvl w:val="0"/>
          <w:numId w:val="107"/>
        </w:numPr>
        <w:suppressAutoHyphens/>
        <w:spacing w:after="200" w:line="276" w:lineRule="auto"/>
        <w:ind w:left="1134" w:hanging="425"/>
        <w:jc w:val="both"/>
        <w:rPr>
          <w:rFonts w:cs="Arial"/>
          <w:szCs w:val="24"/>
          <w:lang w:eastAsia="ar-SA"/>
        </w:rPr>
      </w:pPr>
      <w:r>
        <w:rPr>
          <w:rFonts w:cs="Arial"/>
          <w:szCs w:val="24"/>
          <w:lang w:eastAsia="ar-SA"/>
        </w:rPr>
        <w:lastRenderedPageBreak/>
        <w:t>(£0.</w:t>
      </w:r>
      <w:r w:rsidR="00A12BF6">
        <w:rPr>
          <w:rFonts w:cs="Arial"/>
          <w:szCs w:val="24"/>
          <w:lang w:eastAsia="ar-SA"/>
        </w:rPr>
        <w:t>085</w:t>
      </w:r>
      <w:r>
        <w:rPr>
          <w:rFonts w:cs="Arial"/>
          <w:szCs w:val="24"/>
          <w:lang w:eastAsia="ar-SA"/>
        </w:rPr>
        <w:t>m</w:t>
      </w:r>
      <w:r w:rsidR="006A2EC2">
        <w:rPr>
          <w:rFonts w:cs="Arial"/>
          <w:szCs w:val="24"/>
          <w:lang w:eastAsia="ar-SA"/>
        </w:rPr>
        <w:t>) is</w:t>
      </w:r>
      <w:r w:rsidR="00E97062">
        <w:rPr>
          <w:rFonts w:cs="Arial"/>
          <w:szCs w:val="24"/>
          <w:lang w:eastAsia="ar-SA"/>
        </w:rPr>
        <w:t xml:space="preserve"> the net </w:t>
      </w:r>
      <w:r>
        <w:rPr>
          <w:rFonts w:cs="Arial"/>
          <w:szCs w:val="24"/>
          <w:lang w:eastAsia="ar-SA"/>
        </w:rPr>
        <w:t>reduction in</w:t>
      </w:r>
      <w:r w:rsidR="0074679A" w:rsidRPr="0074679A">
        <w:rPr>
          <w:rFonts w:cs="Arial"/>
          <w:szCs w:val="24"/>
          <w:lang w:eastAsia="ar-SA"/>
        </w:rPr>
        <w:t xml:space="preserve"> subscription charges paid in the year.</w:t>
      </w:r>
    </w:p>
    <w:p w:rsidR="001822D7" w:rsidRPr="0038627D" w:rsidRDefault="001822D7">
      <w:pPr>
        <w:pStyle w:val="ListParagraph"/>
        <w:jc w:val="both"/>
        <w:rPr>
          <w:rFonts w:cs="Arial"/>
          <w:szCs w:val="24"/>
          <w:lang w:eastAsia="ar-SA"/>
        </w:rPr>
      </w:pPr>
    </w:p>
    <w:p w:rsidR="0074679A" w:rsidRDefault="00AE64CC" w:rsidP="00957F91">
      <w:pPr>
        <w:pStyle w:val="ListParagraph"/>
        <w:numPr>
          <w:ilvl w:val="0"/>
          <w:numId w:val="107"/>
        </w:numPr>
        <w:suppressAutoHyphens/>
        <w:spacing w:after="200" w:line="276" w:lineRule="auto"/>
        <w:ind w:left="1134" w:hanging="425"/>
        <w:jc w:val="both"/>
        <w:rPr>
          <w:rFonts w:cs="Arial"/>
          <w:szCs w:val="24"/>
          <w:lang w:eastAsia="ar-SA"/>
        </w:rPr>
      </w:pPr>
      <w:r>
        <w:rPr>
          <w:rFonts w:cs="Arial"/>
          <w:szCs w:val="24"/>
          <w:lang w:eastAsia="ar-SA"/>
        </w:rPr>
        <w:t>(£0.041m) underspend on external audit fees</w:t>
      </w:r>
      <w:r w:rsidR="00A1344B">
        <w:rPr>
          <w:rFonts w:cs="Arial"/>
          <w:szCs w:val="24"/>
          <w:lang w:eastAsia="ar-SA"/>
        </w:rPr>
        <w:t>.</w:t>
      </w:r>
      <w:r>
        <w:rPr>
          <w:rFonts w:cs="Arial"/>
          <w:szCs w:val="24"/>
          <w:lang w:eastAsia="ar-SA"/>
        </w:rPr>
        <w:t xml:space="preserve"> </w:t>
      </w:r>
    </w:p>
    <w:p w:rsidR="00662032" w:rsidRPr="00324AA0" w:rsidRDefault="00662032" w:rsidP="004F2132">
      <w:pPr>
        <w:pStyle w:val="ListParagraph"/>
        <w:rPr>
          <w:rFonts w:cs="Arial"/>
          <w:szCs w:val="24"/>
          <w:lang w:eastAsia="ar-SA"/>
        </w:rPr>
      </w:pPr>
    </w:p>
    <w:p w:rsidR="00662032" w:rsidRDefault="00662032" w:rsidP="00957F91">
      <w:pPr>
        <w:pStyle w:val="ListParagraph"/>
        <w:numPr>
          <w:ilvl w:val="0"/>
          <w:numId w:val="107"/>
        </w:numPr>
        <w:suppressAutoHyphens/>
        <w:spacing w:after="200" w:line="276" w:lineRule="auto"/>
        <w:ind w:left="1134" w:hanging="425"/>
        <w:jc w:val="both"/>
        <w:rPr>
          <w:rFonts w:cs="Arial"/>
          <w:szCs w:val="24"/>
          <w:lang w:eastAsia="ar-SA"/>
        </w:rPr>
      </w:pPr>
      <w:r>
        <w:rPr>
          <w:rFonts w:cs="Arial"/>
          <w:szCs w:val="24"/>
          <w:lang w:eastAsia="ar-SA"/>
        </w:rPr>
        <w:t>Other under spends on corporate items including Pension Augmentation (£0.45</w:t>
      </w:r>
      <w:r w:rsidR="00CA51E0">
        <w:rPr>
          <w:rFonts w:cs="Arial"/>
          <w:szCs w:val="24"/>
          <w:lang w:eastAsia="ar-SA"/>
        </w:rPr>
        <w:t>7</w:t>
      </w:r>
      <w:r>
        <w:rPr>
          <w:rFonts w:cs="Arial"/>
          <w:szCs w:val="24"/>
          <w:lang w:eastAsia="ar-SA"/>
        </w:rPr>
        <w:t>m).</w:t>
      </w:r>
    </w:p>
    <w:p w:rsidR="00012ED8" w:rsidRDefault="00012ED8" w:rsidP="00400300">
      <w:pPr>
        <w:pStyle w:val="ListParagraph"/>
        <w:jc w:val="both"/>
        <w:rPr>
          <w:rFonts w:cs="Arial"/>
          <w:szCs w:val="24"/>
          <w:lang w:eastAsia="ar-SA"/>
        </w:rPr>
      </w:pPr>
    </w:p>
    <w:p w:rsidR="0074679A" w:rsidRDefault="0074679A" w:rsidP="00957F91">
      <w:pPr>
        <w:pStyle w:val="ListParagraph"/>
        <w:suppressAutoHyphens/>
        <w:spacing w:after="200" w:line="276" w:lineRule="auto"/>
        <w:ind w:left="709"/>
        <w:jc w:val="both"/>
        <w:rPr>
          <w:rFonts w:cs="Arial"/>
          <w:b/>
          <w:szCs w:val="24"/>
          <w:lang w:eastAsia="ar-SA"/>
        </w:rPr>
      </w:pPr>
      <w:r w:rsidRPr="0074679A">
        <w:rPr>
          <w:rFonts w:cs="Arial"/>
          <w:b/>
          <w:szCs w:val="24"/>
          <w:lang w:eastAsia="ar-SA"/>
        </w:rPr>
        <w:t>Contingency</w:t>
      </w:r>
    </w:p>
    <w:p w:rsidR="00B23BC2" w:rsidRDefault="006A2EC2" w:rsidP="00957F91">
      <w:pPr>
        <w:pStyle w:val="ListParagraph"/>
        <w:numPr>
          <w:ilvl w:val="0"/>
          <w:numId w:val="171"/>
        </w:numPr>
        <w:suppressAutoHyphens/>
        <w:spacing w:after="200" w:line="276" w:lineRule="auto"/>
        <w:ind w:left="709" w:hanging="709"/>
        <w:jc w:val="both"/>
        <w:rPr>
          <w:rFonts w:cs="Arial"/>
          <w:szCs w:val="24"/>
          <w:lang w:eastAsia="ar-SA"/>
        </w:rPr>
      </w:pPr>
      <w:r>
        <w:rPr>
          <w:rFonts w:cs="Arial"/>
          <w:szCs w:val="24"/>
          <w:lang w:eastAsia="ar-SA"/>
        </w:rPr>
        <w:t>There has been no call on the</w:t>
      </w:r>
      <w:r w:rsidR="00B23BC2" w:rsidRPr="00FD417F">
        <w:rPr>
          <w:rFonts w:cs="Arial"/>
          <w:szCs w:val="24"/>
          <w:lang w:eastAsia="ar-SA"/>
        </w:rPr>
        <w:t xml:space="preserve"> </w:t>
      </w:r>
      <w:r w:rsidR="00423CFA">
        <w:rPr>
          <w:rFonts w:cs="Arial"/>
          <w:szCs w:val="24"/>
          <w:lang w:eastAsia="ar-SA"/>
        </w:rPr>
        <w:t>(</w:t>
      </w:r>
      <w:r w:rsidR="00B23BC2" w:rsidRPr="00FD417F">
        <w:rPr>
          <w:rFonts w:cs="Arial"/>
          <w:szCs w:val="24"/>
          <w:lang w:eastAsia="ar-SA"/>
        </w:rPr>
        <w:t>£1.248m</w:t>
      </w:r>
      <w:r w:rsidR="00423CFA">
        <w:rPr>
          <w:rFonts w:cs="Arial"/>
          <w:szCs w:val="24"/>
          <w:lang w:eastAsia="ar-SA"/>
        </w:rPr>
        <w:t>)</w:t>
      </w:r>
      <w:r w:rsidR="00B23BC2" w:rsidRPr="00FD417F">
        <w:rPr>
          <w:rFonts w:cs="Arial"/>
          <w:szCs w:val="24"/>
          <w:lang w:eastAsia="ar-SA"/>
        </w:rPr>
        <w:t xml:space="preserve"> contingency </w:t>
      </w:r>
      <w:r w:rsidR="00FD417F" w:rsidRPr="00FD417F">
        <w:rPr>
          <w:rFonts w:cs="Arial"/>
          <w:szCs w:val="24"/>
          <w:lang w:eastAsia="ar-SA"/>
        </w:rPr>
        <w:t>for</w:t>
      </w:r>
      <w:r w:rsidR="00B23BC2" w:rsidRPr="00FD417F">
        <w:rPr>
          <w:rFonts w:cs="Arial"/>
          <w:szCs w:val="24"/>
          <w:lang w:eastAsia="ar-SA"/>
        </w:rPr>
        <w:t xml:space="preserve"> unf</w:t>
      </w:r>
      <w:r w:rsidR="004E50D3">
        <w:rPr>
          <w:rFonts w:cs="Arial"/>
          <w:szCs w:val="24"/>
          <w:lang w:eastAsia="ar-SA"/>
        </w:rPr>
        <w:t>oreseen items</w:t>
      </w:r>
      <w:r w:rsidR="007E1B2D">
        <w:rPr>
          <w:rFonts w:cs="Arial"/>
          <w:szCs w:val="24"/>
          <w:lang w:eastAsia="ar-SA"/>
        </w:rPr>
        <w:t xml:space="preserve"> this year.</w:t>
      </w:r>
      <w:r w:rsidR="00B23BC2" w:rsidRPr="00FD417F">
        <w:rPr>
          <w:rFonts w:cs="Arial"/>
          <w:szCs w:val="24"/>
          <w:lang w:eastAsia="ar-SA"/>
        </w:rPr>
        <w:t xml:space="preserve"> </w:t>
      </w:r>
    </w:p>
    <w:p w:rsidR="00FD417F" w:rsidRDefault="00FD417F">
      <w:pPr>
        <w:pStyle w:val="ListParagraph"/>
        <w:suppressAutoHyphens/>
        <w:spacing w:after="200" w:line="276" w:lineRule="auto"/>
        <w:ind w:left="567"/>
        <w:jc w:val="both"/>
        <w:rPr>
          <w:rFonts w:cs="Arial"/>
          <w:szCs w:val="24"/>
          <w:lang w:eastAsia="ar-SA"/>
        </w:rPr>
      </w:pPr>
    </w:p>
    <w:p w:rsidR="00B23BC2" w:rsidRPr="0074679A" w:rsidRDefault="00B23BC2" w:rsidP="00957F91">
      <w:pPr>
        <w:pStyle w:val="ListParagraph"/>
        <w:suppressAutoHyphens/>
        <w:spacing w:after="200" w:line="276" w:lineRule="auto"/>
        <w:ind w:left="709"/>
        <w:jc w:val="both"/>
        <w:rPr>
          <w:rFonts w:cs="Arial"/>
          <w:b/>
          <w:szCs w:val="24"/>
          <w:lang w:eastAsia="ar-SA"/>
        </w:rPr>
      </w:pPr>
      <w:r w:rsidRPr="0074679A">
        <w:rPr>
          <w:rFonts w:cs="Arial"/>
          <w:b/>
          <w:szCs w:val="24"/>
          <w:lang w:eastAsia="ar-SA"/>
        </w:rPr>
        <w:t>Technical and Corporate Adjustments</w:t>
      </w:r>
    </w:p>
    <w:p w:rsidR="00B23BC2" w:rsidRDefault="00B23BC2" w:rsidP="00957F91">
      <w:pPr>
        <w:pStyle w:val="ListParagraph"/>
        <w:numPr>
          <w:ilvl w:val="0"/>
          <w:numId w:val="171"/>
        </w:numPr>
        <w:suppressAutoHyphens/>
        <w:spacing w:after="200" w:line="276" w:lineRule="auto"/>
        <w:ind w:left="709" w:hanging="709"/>
        <w:jc w:val="both"/>
        <w:rPr>
          <w:rFonts w:cs="Arial"/>
          <w:szCs w:val="24"/>
          <w:lang w:eastAsia="ar-SA"/>
        </w:rPr>
      </w:pPr>
      <w:r w:rsidRPr="0074679A">
        <w:rPr>
          <w:rFonts w:cs="Arial"/>
          <w:szCs w:val="24"/>
          <w:lang w:eastAsia="ar-SA"/>
        </w:rPr>
        <w:t>The variance of (£</w:t>
      </w:r>
      <w:r w:rsidR="00A12BF6">
        <w:rPr>
          <w:rFonts w:cs="Arial"/>
          <w:szCs w:val="24"/>
          <w:lang w:eastAsia="ar-SA"/>
        </w:rPr>
        <w:t>8.818</w:t>
      </w:r>
      <w:r w:rsidRPr="0074679A">
        <w:rPr>
          <w:rFonts w:cs="Arial"/>
          <w:szCs w:val="24"/>
          <w:lang w:eastAsia="ar-SA"/>
        </w:rPr>
        <w:t>m) on Technical and Corporate Adjustment</w:t>
      </w:r>
      <w:r w:rsidR="00FD417F">
        <w:rPr>
          <w:rFonts w:cs="Arial"/>
          <w:szCs w:val="24"/>
          <w:lang w:eastAsia="ar-SA"/>
        </w:rPr>
        <w:t>s</w:t>
      </w:r>
      <w:r w:rsidR="00FA243E">
        <w:rPr>
          <w:rFonts w:cs="Arial"/>
          <w:szCs w:val="24"/>
          <w:lang w:eastAsia="ar-SA"/>
        </w:rPr>
        <w:t xml:space="preserve"> after allowing for a carry forward of £0.839</w:t>
      </w:r>
      <w:r w:rsidR="00AE64CC">
        <w:rPr>
          <w:rFonts w:cs="Arial"/>
          <w:szCs w:val="24"/>
          <w:lang w:eastAsia="ar-SA"/>
        </w:rPr>
        <w:t>m</w:t>
      </w:r>
      <w:r w:rsidR="00FA243E">
        <w:rPr>
          <w:rFonts w:cs="Arial"/>
          <w:szCs w:val="24"/>
          <w:lang w:eastAsia="ar-SA"/>
        </w:rPr>
        <w:t xml:space="preserve"> </w:t>
      </w:r>
      <w:r w:rsidR="00FD417F">
        <w:rPr>
          <w:rFonts w:cs="Arial"/>
          <w:szCs w:val="24"/>
          <w:lang w:eastAsia="ar-SA"/>
        </w:rPr>
        <w:t>is</w:t>
      </w:r>
      <w:r w:rsidR="00FA243E">
        <w:rPr>
          <w:rFonts w:cs="Arial"/>
          <w:szCs w:val="24"/>
          <w:lang w:eastAsia="ar-SA"/>
        </w:rPr>
        <w:t xml:space="preserve"> a</w:t>
      </w:r>
      <w:r w:rsidRPr="0074679A">
        <w:rPr>
          <w:rFonts w:cs="Arial"/>
          <w:szCs w:val="24"/>
          <w:lang w:eastAsia="ar-SA"/>
        </w:rPr>
        <w:t xml:space="preserve"> detail</w:t>
      </w:r>
      <w:r w:rsidR="00FD417F">
        <w:rPr>
          <w:rFonts w:cs="Arial"/>
          <w:szCs w:val="24"/>
          <w:lang w:eastAsia="ar-SA"/>
        </w:rPr>
        <w:t>ed</w:t>
      </w:r>
      <w:r w:rsidR="0003265C">
        <w:rPr>
          <w:rFonts w:cs="Arial"/>
          <w:szCs w:val="24"/>
          <w:lang w:eastAsia="ar-SA"/>
        </w:rPr>
        <w:t xml:space="preserve"> as follows</w:t>
      </w:r>
      <w:r w:rsidR="00FD417F">
        <w:rPr>
          <w:rFonts w:cs="Arial"/>
          <w:szCs w:val="24"/>
          <w:lang w:eastAsia="ar-SA"/>
        </w:rPr>
        <w:t>:</w:t>
      </w:r>
    </w:p>
    <w:p w:rsidR="00FD417F" w:rsidRDefault="00FD417F">
      <w:pPr>
        <w:pStyle w:val="ListParagraph"/>
        <w:suppressAutoHyphens/>
        <w:spacing w:after="200" w:line="276" w:lineRule="auto"/>
        <w:ind w:left="567"/>
        <w:jc w:val="both"/>
        <w:rPr>
          <w:rFonts w:cs="Arial"/>
          <w:szCs w:val="24"/>
          <w:lang w:eastAsia="ar-SA"/>
        </w:rPr>
      </w:pPr>
    </w:p>
    <w:p w:rsidR="0074679A" w:rsidRDefault="00AE64CC" w:rsidP="00957F91">
      <w:pPr>
        <w:pStyle w:val="ListParagraph"/>
        <w:numPr>
          <w:ilvl w:val="0"/>
          <w:numId w:val="108"/>
        </w:numPr>
        <w:suppressAutoHyphens/>
        <w:spacing w:after="200" w:line="276" w:lineRule="auto"/>
        <w:ind w:left="1134" w:hanging="414"/>
        <w:jc w:val="both"/>
        <w:rPr>
          <w:rFonts w:cs="Arial"/>
          <w:szCs w:val="24"/>
          <w:lang w:eastAsia="ar-SA"/>
        </w:rPr>
      </w:pPr>
      <w:r>
        <w:rPr>
          <w:rFonts w:cs="Arial"/>
          <w:szCs w:val="24"/>
          <w:lang w:eastAsia="ar-SA"/>
        </w:rPr>
        <w:t>N</w:t>
      </w:r>
      <w:r w:rsidR="00BB7022">
        <w:rPr>
          <w:rFonts w:cs="Arial"/>
          <w:szCs w:val="24"/>
          <w:lang w:eastAsia="ar-SA"/>
        </w:rPr>
        <w:t xml:space="preserve">et under spend of </w:t>
      </w:r>
      <w:r w:rsidR="00FD417F">
        <w:rPr>
          <w:rFonts w:cs="Arial"/>
          <w:szCs w:val="24"/>
          <w:lang w:eastAsia="ar-SA"/>
        </w:rPr>
        <w:t>(£</w:t>
      </w:r>
      <w:r w:rsidR="00686794">
        <w:rPr>
          <w:rFonts w:cs="Arial"/>
          <w:szCs w:val="24"/>
          <w:lang w:eastAsia="ar-SA"/>
        </w:rPr>
        <w:t>1.03</w:t>
      </w:r>
      <w:r w:rsidR="00582F14">
        <w:rPr>
          <w:rFonts w:cs="Arial"/>
          <w:szCs w:val="24"/>
          <w:lang w:eastAsia="ar-SA"/>
        </w:rPr>
        <w:t>3</w:t>
      </w:r>
      <w:r w:rsidR="00FD417F">
        <w:rPr>
          <w:rFonts w:cs="Arial"/>
          <w:szCs w:val="24"/>
          <w:lang w:eastAsia="ar-SA"/>
        </w:rPr>
        <w:t xml:space="preserve">m) </w:t>
      </w:r>
      <w:r>
        <w:rPr>
          <w:rFonts w:cs="Arial"/>
          <w:szCs w:val="24"/>
          <w:lang w:eastAsia="ar-SA"/>
        </w:rPr>
        <w:t xml:space="preserve">against </w:t>
      </w:r>
      <w:r w:rsidR="0074679A" w:rsidRPr="0074679A">
        <w:rPr>
          <w:rFonts w:cs="Arial"/>
          <w:szCs w:val="24"/>
          <w:lang w:eastAsia="ar-SA"/>
        </w:rPr>
        <w:t xml:space="preserve">inflation provisions </w:t>
      </w:r>
      <w:r>
        <w:rPr>
          <w:rFonts w:cs="Arial"/>
          <w:szCs w:val="24"/>
          <w:lang w:eastAsia="ar-SA"/>
        </w:rPr>
        <w:t>not drawn down</w:t>
      </w:r>
      <w:r w:rsidR="0074679A">
        <w:rPr>
          <w:rFonts w:cs="Arial"/>
          <w:szCs w:val="24"/>
          <w:lang w:eastAsia="ar-SA"/>
        </w:rPr>
        <w:t>.</w:t>
      </w:r>
    </w:p>
    <w:p w:rsidR="0038627D" w:rsidRDefault="0038627D">
      <w:pPr>
        <w:pStyle w:val="ListParagraph"/>
        <w:suppressAutoHyphens/>
        <w:spacing w:after="200" w:line="276" w:lineRule="auto"/>
        <w:ind w:left="1080"/>
        <w:jc w:val="both"/>
        <w:rPr>
          <w:rFonts w:cs="Arial"/>
          <w:szCs w:val="24"/>
          <w:lang w:eastAsia="ar-SA"/>
        </w:rPr>
      </w:pPr>
    </w:p>
    <w:p w:rsidR="0074679A" w:rsidRPr="0074679A" w:rsidRDefault="00AE64CC" w:rsidP="00957F91">
      <w:pPr>
        <w:pStyle w:val="ListParagraph"/>
        <w:numPr>
          <w:ilvl w:val="0"/>
          <w:numId w:val="108"/>
        </w:numPr>
        <w:suppressAutoHyphens/>
        <w:spacing w:after="200" w:line="276" w:lineRule="auto"/>
        <w:ind w:left="1134" w:hanging="414"/>
        <w:jc w:val="both"/>
        <w:rPr>
          <w:rFonts w:cs="Arial"/>
          <w:szCs w:val="24"/>
          <w:lang w:eastAsia="ar-SA"/>
        </w:rPr>
      </w:pPr>
      <w:r>
        <w:rPr>
          <w:rFonts w:cs="Arial"/>
          <w:szCs w:val="24"/>
          <w:lang w:eastAsia="ar-SA"/>
        </w:rPr>
        <w:t xml:space="preserve">Underspend of (£0.056m) </w:t>
      </w:r>
      <w:r w:rsidR="004E50D3">
        <w:rPr>
          <w:rFonts w:cs="Arial"/>
          <w:szCs w:val="24"/>
          <w:lang w:eastAsia="ar-SA"/>
        </w:rPr>
        <w:t>increase</w:t>
      </w:r>
      <w:r>
        <w:rPr>
          <w:rFonts w:cs="Arial"/>
          <w:szCs w:val="24"/>
          <w:lang w:eastAsia="ar-SA"/>
        </w:rPr>
        <w:t>s</w:t>
      </w:r>
      <w:r w:rsidR="004E50D3">
        <w:rPr>
          <w:rFonts w:cs="Arial"/>
          <w:szCs w:val="24"/>
          <w:lang w:eastAsia="ar-SA"/>
        </w:rPr>
        <w:t xml:space="preserve"> in NNDR revaluation</w:t>
      </w:r>
      <w:r>
        <w:rPr>
          <w:rFonts w:cs="Arial"/>
          <w:szCs w:val="24"/>
          <w:lang w:eastAsia="ar-SA"/>
        </w:rPr>
        <w:t>s.</w:t>
      </w:r>
    </w:p>
    <w:p w:rsidR="0074679A" w:rsidRPr="0074679A" w:rsidRDefault="0074679A">
      <w:pPr>
        <w:pStyle w:val="ListParagraph"/>
        <w:suppressAutoHyphens/>
        <w:spacing w:after="200" w:line="276" w:lineRule="auto"/>
        <w:ind w:left="1080"/>
        <w:jc w:val="both"/>
        <w:rPr>
          <w:rFonts w:cs="Arial"/>
          <w:szCs w:val="24"/>
          <w:lang w:eastAsia="ar-SA"/>
        </w:rPr>
      </w:pPr>
    </w:p>
    <w:p w:rsidR="0074679A" w:rsidRPr="0074679A" w:rsidRDefault="00AE64CC" w:rsidP="00957F91">
      <w:pPr>
        <w:pStyle w:val="ListParagraph"/>
        <w:numPr>
          <w:ilvl w:val="0"/>
          <w:numId w:val="108"/>
        </w:numPr>
        <w:suppressAutoHyphens/>
        <w:spacing w:after="200" w:line="276" w:lineRule="auto"/>
        <w:ind w:left="1134" w:hanging="414"/>
        <w:jc w:val="both"/>
        <w:rPr>
          <w:rFonts w:cs="Arial"/>
          <w:szCs w:val="24"/>
          <w:lang w:eastAsia="ar-SA"/>
        </w:rPr>
      </w:pPr>
      <w:r>
        <w:rPr>
          <w:rFonts w:cs="Arial"/>
          <w:szCs w:val="24"/>
          <w:lang w:eastAsia="ar-SA"/>
        </w:rPr>
        <w:t xml:space="preserve">Underspend of </w:t>
      </w:r>
      <w:r w:rsidR="004E50D3">
        <w:rPr>
          <w:rFonts w:cs="Arial"/>
          <w:szCs w:val="24"/>
          <w:lang w:eastAsia="ar-SA"/>
        </w:rPr>
        <w:t>(</w:t>
      </w:r>
      <w:r w:rsidR="0038627D">
        <w:rPr>
          <w:rFonts w:cs="Arial"/>
          <w:szCs w:val="24"/>
          <w:lang w:eastAsia="ar-SA"/>
        </w:rPr>
        <w:t>£</w:t>
      </w:r>
      <w:r w:rsidR="004E50D3">
        <w:rPr>
          <w:rFonts w:cs="Arial"/>
          <w:szCs w:val="24"/>
          <w:lang w:eastAsia="ar-SA"/>
        </w:rPr>
        <w:t>0.</w:t>
      </w:r>
      <w:r w:rsidR="0038627D">
        <w:rPr>
          <w:rFonts w:cs="Arial"/>
          <w:szCs w:val="24"/>
          <w:lang w:eastAsia="ar-SA"/>
        </w:rPr>
        <w:t>526</w:t>
      </w:r>
      <w:r w:rsidR="004E50D3">
        <w:rPr>
          <w:rFonts w:cs="Arial"/>
          <w:szCs w:val="24"/>
          <w:lang w:eastAsia="ar-SA"/>
        </w:rPr>
        <w:t>m)</w:t>
      </w:r>
      <w:r w:rsidR="0038627D">
        <w:rPr>
          <w:rFonts w:cs="Arial"/>
          <w:szCs w:val="24"/>
          <w:lang w:eastAsia="ar-SA"/>
        </w:rPr>
        <w:t xml:space="preserve"> </w:t>
      </w:r>
      <w:r>
        <w:rPr>
          <w:rFonts w:cs="Arial"/>
          <w:szCs w:val="24"/>
          <w:lang w:eastAsia="ar-SA"/>
        </w:rPr>
        <w:t xml:space="preserve">against </w:t>
      </w:r>
      <w:proofErr w:type="gramStart"/>
      <w:r w:rsidR="00CF7900">
        <w:rPr>
          <w:rFonts w:cs="Arial"/>
          <w:szCs w:val="24"/>
          <w:lang w:eastAsia="ar-SA"/>
        </w:rPr>
        <w:t xml:space="preserve">a </w:t>
      </w:r>
      <w:r w:rsidR="0038627D">
        <w:rPr>
          <w:rFonts w:cs="Arial"/>
          <w:szCs w:val="24"/>
          <w:lang w:eastAsia="ar-SA"/>
        </w:rPr>
        <w:t>revenue</w:t>
      </w:r>
      <w:proofErr w:type="gramEnd"/>
      <w:r w:rsidR="0038627D">
        <w:rPr>
          <w:rFonts w:cs="Arial"/>
          <w:szCs w:val="24"/>
          <w:lang w:eastAsia="ar-SA"/>
        </w:rPr>
        <w:t xml:space="preserve"> </w:t>
      </w:r>
      <w:r w:rsidR="0074679A" w:rsidRPr="0074679A">
        <w:rPr>
          <w:rFonts w:cs="Arial"/>
          <w:szCs w:val="24"/>
          <w:lang w:eastAsia="ar-SA"/>
        </w:rPr>
        <w:t xml:space="preserve">contingency </w:t>
      </w:r>
      <w:r w:rsidR="0038627D">
        <w:rPr>
          <w:rFonts w:cs="Arial"/>
          <w:szCs w:val="24"/>
          <w:lang w:eastAsia="ar-SA"/>
        </w:rPr>
        <w:t xml:space="preserve">set aside for unforeseen </w:t>
      </w:r>
      <w:r w:rsidR="005314CD">
        <w:rPr>
          <w:rFonts w:cs="Arial"/>
          <w:szCs w:val="24"/>
          <w:lang w:eastAsia="ar-SA"/>
        </w:rPr>
        <w:t xml:space="preserve">circumstances </w:t>
      </w:r>
      <w:r w:rsidR="0074679A" w:rsidRPr="0074679A">
        <w:rPr>
          <w:rFonts w:cs="Arial"/>
          <w:szCs w:val="24"/>
          <w:lang w:eastAsia="ar-SA"/>
        </w:rPr>
        <w:t>not utilised</w:t>
      </w:r>
      <w:r>
        <w:rPr>
          <w:rFonts w:cs="Arial"/>
          <w:szCs w:val="24"/>
          <w:lang w:eastAsia="ar-SA"/>
        </w:rPr>
        <w:t>.</w:t>
      </w:r>
    </w:p>
    <w:p w:rsidR="0074679A" w:rsidRPr="0074679A" w:rsidRDefault="0074679A">
      <w:pPr>
        <w:pStyle w:val="ListParagraph"/>
        <w:suppressAutoHyphens/>
        <w:spacing w:after="200" w:line="276" w:lineRule="auto"/>
        <w:ind w:left="1080"/>
        <w:jc w:val="both"/>
        <w:rPr>
          <w:rFonts w:cs="Arial"/>
          <w:szCs w:val="24"/>
          <w:lang w:eastAsia="ar-SA"/>
        </w:rPr>
      </w:pPr>
    </w:p>
    <w:p w:rsidR="0074679A" w:rsidRDefault="0074679A" w:rsidP="00957F91">
      <w:pPr>
        <w:pStyle w:val="ListParagraph"/>
        <w:numPr>
          <w:ilvl w:val="0"/>
          <w:numId w:val="108"/>
        </w:numPr>
        <w:suppressAutoHyphens/>
        <w:spacing w:after="200" w:line="276" w:lineRule="auto"/>
        <w:ind w:left="1134" w:hanging="414"/>
        <w:jc w:val="both"/>
        <w:rPr>
          <w:rFonts w:cs="Arial"/>
          <w:szCs w:val="24"/>
          <w:lang w:eastAsia="ar-SA"/>
        </w:rPr>
      </w:pPr>
      <w:r w:rsidRPr="0074679A">
        <w:rPr>
          <w:rFonts w:cs="Arial"/>
          <w:szCs w:val="24"/>
          <w:lang w:eastAsia="ar-SA"/>
        </w:rPr>
        <w:t>(£0.2</w:t>
      </w:r>
      <w:r w:rsidR="00572CCA">
        <w:rPr>
          <w:rFonts w:cs="Arial"/>
          <w:szCs w:val="24"/>
          <w:lang w:eastAsia="ar-SA"/>
        </w:rPr>
        <w:t>64</w:t>
      </w:r>
      <w:r w:rsidRPr="0074679A">
        <w:rPr>
          <w:rFonts w:cs="Arial"/>
          <w:szCs w:val="24"/>
          <w:lang w:eastAsia="ar-SA"/>
        </w:rPr>
        <w:t xml:space="preserve">m) </w:t>
      </w:r>
      <w:r w:rsidR="00AE64CC">
        <w:rPr>
          <w:rFonts w:cs="Arial"/>
          <w:szCs w:val="24"/>
          <w:lang w:eastAsia="ar-SA"/>
        </w:rPr>
        <w:t>under</w:t>
      </w:r>
      <w:r w:rsidR="00333CC8">
        <w:rPr>
          <w:rFonts w:cs="Arial"/>
          <w:szCs w:val="24"/>
          <w:lang w:eastAsia="ar-SA"/>
        </w:rPr>
        <w:t xml:space="preserve"> s</w:t>
      </w:r>
      <w:r w:rsidR="00AE64CC">
        <w:rPr>
          <w:rFonts w:cs="Arial"/>
          <w:szCs w:val="24"/>
          <w:lang w:eastAsia="ar-SA"/>
        </w:rPr>
        <w:t xml:space="preserve">pend </w:t>
      </w:r>
      <w:r w:rsidR="0019512E">
        <w:rPr>
          <w:rFonts w:cs="Arial"/>
          <w:szCs w:val="24"/>
          <w:lang w:eastAsia="ar-SA"/>
        </w:rPr>
        <w:t>against the</w:t>
      </w:r>
      <w:r w:rsidR="00333CC8">
        <w:rPr>
          <w:rFonts w:cs="Arial"/>
          <w:szCs w:val="24"/>
          <w:lang w:eastAsia="ar-SA"/>
        </w:rPr>
        <w:t xml:space="preserve"> provision</w:t>
      </w:r>
      <w:r w:rsidR="0038627D">
        <w:rPr>
          <w:rFonts w:cs="Arial"/>
          <w:szCs w:val="24"/>
          <w:lang w:eastAsia="ar-SA"/>
        </w:rPr>
        <w:t xml:space="preserve"> </w:t>
      </w:r>
      <w:r w:rsidR="00AE64CC">
        <w:rPr>
          <w:rFonts w:cs="Arial"/>
          <w:szCs w:val="24"/>
          <w:lang w:eastAsia="ar-SA"/>
        </w:rPr>
        <w:t>for</w:t>
      </w:r>
      <w:r w:rsidR="0038627D">
        <w:rPr>
          <w:rFonts w:cs="Arial"/>
          <w:szCs w:val="24"/>
          <w:lang w:eastAsia="ar-SA"/>
        </w:rPr>
        <w:t xml:space="preserve"> </w:t>
      </w:r>
      <w:r w:rsidRPr="0074679A">
        <w:rPr>
          <w:rFonts w:cs="Arial"/>
          <w:szCs w:val="24"/>
          <w:lang w:eastAsia="ar-SA"/>
        </w:rPr>
        <w:t>litigation</w:t>
      </w:r>
      <w:r w:rsidR="0038627D">
        <w:rPr>
          <w:rFonts w:cs="Arial"/>
          <w:szCs w:val="24"/>
          <w:lang w:eastAsia="ar-SA"/>
        </w:rPr>
        <w:t xml:space="preserve"> was less than </w:t>
      </w:r>
      <w:r w:rsidR="00AE64CC">
        <w:rPr>
          <w:rFonts w:cs="Arial"/>
          <w:szCs w:val="24"/>
          <w:lang w:eastAsia="ar-SA"/>
        </w:rPr>
        <w:t>budgeted for.</w:t>
      </w:r>
    </w:p>
    <w:p w:rsidR="00994449" w:rsidRPr="00994449" w:rsidRDefault="00994449" w:rsidP="00957F91">
      <w:pPr>
        <w:pStyle w:val="ListParagraph"/>
        <w:rPr>
          <w:rFonts w:cs="Arial"/>
          <w:szCs w:val="24"/>
          <w:lang w:eastAsia="ar-SA"/>
        </w:rPr>
      </w:pPr>
    </w:p>
    <w:p w:rsidR="00994449" w:rsidRPr="00994449" w:rsidRDefault="00994449" w:rsidP="00957F91">
      <w:pPr>
        <w:pStyle w:val="ListParagraph"/>
        <w:numPr>
          <w:ilvl w:val="0"/>
          <w:numId w:val="171"/>
        </w:numPr>
        <w:ind w:left="709" w:hanging="709"/>
        <w:rPr>
          <w:rFonts w:cs="Arial"/>
          <w:szCs w:val="24"/>
          <w:lang w:eastAsia="ar-SA"/>
        </w:rPr>
      </w:pPr>
      <w:r w:rsidRPr="00994449">
        <w:rPr>
          <w:rFonts w:cs="Arial"/>
          <w:szCs w:val="24"/>
          <w:lang w:eastAsia="ar-SA"/>
        </w:rPr>
        <w:t xml:space="preserve">Additional grant income of (£6.197m) was received after the budget was set:  </w:t>
      </w:r>
    </w:p>
    <w:p w:rsidR="00994449" w:rsidRPr="00994449" w:rsidRDefault="00994449" w:rsidP="00957F91">
      <w:pPr>
        <w:pStyle w:val="ListParagraph"/>
        <w:rPr>
          <w:rFonts w:cs="Arial"/>
          <w:szCs w:val="24"/>
          <w:lang w:eastAsia="ar-SA"/>
        </w:rPr>
      </w:pPr>
    </w:p>
    <w:p w:rsidR="00994449" w:rsidRDefault="00572CCA" w:rsidP="00957F91">
      <w:pPr>
        <w:pStyle w:val="ListParagraph"/>
        <w:numPr>
          <w:ilvl w:val="0"/>
          <w:numId w:val="108"/>
        </w:numPr>
        <w:suppressAutoHyphens/>
        <w:spacing w:after="200" w:line="276" w:lineRule="auto"/>
        <w:ind w:left="1134" w:hanging="425"/>
        <w:jc w:val="both"/>
        <w:rPr>
          <w:rFonts w:cs="Arial"/>
          <w:szCs w:val="24"/>
          <w:lang w:eastAsia="ar-SA"/>
        </w:rPr>
      </w:pPr>
      <w:r w:rsidRPr="00D003CD">
        <w:rPr>
          <w:rFonts w:cs="Arial"/>
          <w:szCs w:val="24"/>
          <w:lang w:eastAsia="ar-SA"/>
        </w:rPr>
        <w:t>(£</w:t>
      </w:r>
      <w:r w:rsidR="00FA0533">
        <w:rPr>
          <w:rFonts w:cs="Arial"/>
          <w:szCs w:val="24"/>
          <w:lang w:eastAsia="ar-SA"/>
        </w:rPr>
        <w:t>4.279</w:t>
      </w:r>
      <w:r w:rsidRPr="00D003CD">
        <w:rPr>
          <w:rFonts w:cs="Arial"/>
          <w:szCs w:val="24"/>
          <w:lang w:eastAsia="ar-SA"/>
        </w:rPr>
        <w:t xml:space="preserve">m) </w:t>
      </w:r>
      <w:r w:rsidR="00FA0533">
        <w:rPr>
          <w:rFonts w:cs="Arial"/>
          <w:szCs w:val="24"/>
          <w:lang w:eastAsia="ar-SA"/>
        </w:rPr>
        <w:t xml:space="preserve">funding from the 2018/19 Business Rate Pool and additional one-off </w:t>
      </w:r>
      <w:r w:rsidR="0074679A" w:rsidRPr="00D003CD">
        <w:rPr>
          <w:rFonts w:cs="Arial"/>
          <w:szCs w:val="24"/>
          <w:lang w:eastAsia="ar-SA"/>
        </w:rPr>
        <w:t xml:space="preserve">Section 31 </w:t>
      </w:r>
      <w:r w:rsidR="00FA0533">
        <w:rPr>
          <w:rFonts w:cs="Arial"/>
          <w:szCs w:val="24"/>
          <w:lang w:eastAsia="ar-SA"/>
        </w:rPr>
        <w:t>funding, which i</w:t>
      </w:r>
      <w:r w:rsidR="00AE64CC">
        <w:rPr>
          <w:rFonts w:cs="Arial"/>
          <w:szCs w:val="24"/>
          <w:lang w:eastAsia="ar-SA"/>
        </w:rPr>
        <w:t>s built into 2019/20 budget</w:t>
      </w:r>
      <w:r w:rsidR="00994449">
        <w:rPr>
          <w:rFonts w:cs="Arial"/>
          <w:szCs w:val="24"/>
          <w:lang w:eastAsia="ar-SA"/>
        </w:rPr>
        <w:t>.</w:t>
      </w:r>
    </w:p>
    <w:p w:rsidR="00BE6CE9" w:rsidRDefault="00BE6CE9" w:rsidP="00957F91">
      <w:pPr>
        <w:pStyle w:val="ListParagraph"/>
        <w:suppressAutoHyphens/>
        <w:spacing w:after="200" w:line="276" w:lineRule="auto"/>
        <w:ind w:left="1134"/>
        <w:jc w:val="both"/>
        <w:rPr>
          <w:rFonts w:cs="Arial"/>
          <w:szCs w:val="24"/>
          <w:lang w:eastAsia="ar-SA"/>
        </w:rPr>
      </w:pPr>
    </w:p>
    <w:p w:rsidR="00BE6CE9" w:rsidRDefault="00BE6CE9" w:rsidP="00957F91">
      <w:pPr>
        <w:pStyle w:val="ListParagraph"/>
        <w:numPr>
          <w:ilvl w:val="0"/>
          <w:numId w:val="108"/>
        </w:numPr>
        <w:suppressAutoHyphens/>
        <w:spacing w:after="200" w:line="276" w:lineRule="auto"/>
        <w:ind w:left="1134" w:hanging="425"/>
        <w:jc w:val="both"/>
        <w:rPr>
          <w:rFonts w:cs="Arial"/>
          <w:szCs w:val="24"/>
          <w:lang w:eastAsia="ar-SA"/>
        </w:rPr>
      </w:pPr>
      <w:r>
        <w:rPr>
          <w:rFonts w:cs="Arial"/>
          <w:szCs w:val="24"/>
          <w:lang w:eastAsia="ar-SA"/>
        </w:rPr>
        <w:t>Based on the revised number from the London Pool Pilot in March 2019, Harrow has received an additional (£1.214m) in respect Business Rate Pool and Section 31 funding.</w:t>
      </w:r>
    </w:p>
    <w:p w:rsidR="005C3109" w:rsidRPr="00C851F0" w:rsidRDefault="005C3109" w:rsidP="00957F91">
      <w:pPr>
        <w:pStyle w:val="ListParagraph"/>
        <w:rPr>
          <w:rFonts w:cs="Arial"/>
          <w:szCs w:val="24"/>
          <w:lang w:eastAsia="ar-SA"/>
        </w:rPr>
      </w:pPr>
    </w:p>
    <w:p w:rsidR="007E1B2D" w:rsidRDefault="00D003CD" w:rsidP="00957F91">
      <w:pPr>
        <w:pStyle w:val="ListParagraph"/>
        <w:numPr>
          <w:ilvl w:val="0"/>
          <w:numId w:val="108"/>
        </w:numPr>
        <w:suppressAutoHyphens/>
        <w:spacing w:after="200" w:line="276" w:lineRule="auto"/>
        <w:ind w:left="1134" w:hanging="425"/>
        <w:jc w:val="both"/>
        <w:rPr>
          <w:rFonts w:cs="Arial"/>
          <w:szCs w:val="24"/>
          <w:lang w:eastAsia="ar-SA"/>
        </w:rPr>
      </w:pPr>
      <w:r>
        <w:rPr>
          <w:rFonts w:cs="Arial"/>
          <w:szCs w:val="24"/>
          <w:lang w:eastAsia="ar-SA"/>
        </w:rPr>
        <w:t>(£0.599m)</w:t>
      </w:r>
      <w:r w:rsidR="0012492C">
        <w:rPr>
          <w:rFonts w:cs="Arial"/>
          <w:szCs w:val="24"/>
          <w:lang w:eastAsia="ar-SA"/>
        </w:rPr>
        <w:t xml:space="preserve">  </w:t>
      </w:r>
      <w:r>
        <w:rPr>
          <w:rFonts w:cs="Arial"/>
          <w:szCs w:val="24"/>
          <w:lang w:eastAsia="ar-SA"/>
        </w:rPr>
        <w:t xml:space="preserve">Levy Account Surplus that was announced in December </w:t>
      </w:r>
      <w:r w:rsidR="00781DD6">
        <w:rPr>
          <w:rFonts w:cs="Arial"/>
          <w:szCs w:val="24"/>
          <w:lang w:eastAsia="ar-SA"/>
        </w:rPr>
        <w:t xml:space="preserve">2018 </w:t>
      </w:r>
      <w:r>
        <w:rPr>
          <w:rFonts w:cs="Arial"/>
          <w:szCs w:val="24"/>
          <w:lang w:eastAsia="ar-SA"/>
        </w:rPr>
        <w:t>as part of the 2019/20 financial settlement</w:t>
      </w:r>
      <w:r w:rsidR="007E1B2D">
        <w:rPr>
          <w:rFonts w:cs="Arial"/>
          <w:szCs w:val="24"/>
          <w:lang w:eastAsia="ar-SA"/>
        </w:rPr>
        <w:t>.</w:t>
      </w:r>
    </w:p>
    <w:p w:rsidR="007E1B2D" w:rsidRPr="00BA760A" w:rsidRDefault="007E1B2D" w:rsidP="00400300">
      <w:pPr>
        <w:pStyle w:val="ListParagraph"/>
        <w:jc w:val="both"/>
        <w:rPr>
          <w:rFonts w:cs="Arial"/>
          <w:szCs w:val="24"/>
          <w:lang w:eastAsia="ar-SA"/>
        </w:rPr>
      </w:pPr>
    </w:p>
    <w:p w:rsidR="007E1B2D" w:rsidRDefault="007E1B2D" w:rsidP="00957F91">
      <w:pPr>
        <w:pStyle w:val="ListParagraph"/>
        <w:numPr>
          <w:ilvl w:val="0"/>
          <w:numId w:val="108"/>
        </w:numPr>
        <w:suppressAutoHyphens/>
        <w:spacing w:after="200" w:line="276" w:lineRule="auto"/>
        <w:ind w:left="1134" w:hanging="425"/>
        <w:jc w:val="both"/>
        <w:rPr>
          <w:rFonts w:cs="Arial"/>
          <w:szCs w:val="24"/>
          <w:lang w:eastAsia="ar-SA"/>
        </w:rPr>
      </w:pPr>
      <w:r w:rsidRPr="00E97062">
        <w:rPr>
          <w:rFonts w:cs="Arial"/>
          <w:szCs w:val="24"/>
          <w:lang w:eastAsia="ar-SA"/>
        </w:rPr>
        <w:t xml:space="preserve">(£0.105m) </w:t>
      </w:r>
      <w:r w:rsidR="00781DD6">
        <w:rPr>
          <w:rFonts w:cs="Arial"/>
          <w:szCs w:val="24"/>
          <w:lang w:eastAsia="ar-SA"/>
        </w:rPr>
        <w:t xml:space="preserve">of grant </w:t>
      </w:r>
      <w:r w:rsidR="00E97062" w:rsidRPr="00E97062">
        <w:rPr>
          <w:rFonts w:cs="Arial"/>
          <w:szCs w:val="24"/>
          <w:lang w:eastAsia="ar-SA"/>
        </w:rPr>
        <w:t>received from Central Government to fund the local authority’s preparation for the EU exit.</w:t>
      </w:r>
    </w:p>
    <w:p w:rsidR="00333CC8" w:rsidRPr="00333CC8" w:rsidRDefault="00333CC8" w:rsidP="00957F91">
      <w:pPr>
        <w:pStyle w:val="ListParagraph"/>
        <w:rPr>
          <w:rFonts w:cs="Arial"/>
          <w:szCs w:val="24"/>
          <w:lang w:eastAsia="ar-SA"/>
        </w:rPr>
      </w:pPr>
    </w:p>
    <w:p w:rsidR="00333CC8" w:rsidRDefault="00333CC8" w:rsidP="00957F91">
      <w:pPr>
        <w:pStyle w:val="ListParagraph"/>
        <w:numPr>
          <w:ilvl w:val="0"/>
          <w:numId w:val="171"/>
        </w:numPr>
        <w:ind w:left="709" w:hanging="709"/>
        <w:jc w:val="both"/>
        <w:rPr>
          <w:rFonts w:cs="Arial"/>
          <w:szCs w:val="24"/>
          <w:lang w:eastAsia="ar-SA"/>
        </w:rPr>
      </w:pPr>
      <w:r w:rsidRPr="00333CC8">
        <w:rPr>
          <w:rFonts w:cs="Arial"/>
          <w:szCs w:val="24"/>
          <w:lang w:eastAsia="ar-SA"/>
        </w:rPr>
        <w:t>There has been a net underspend of (£0.742m) on capital financing due to slippages and underspends against the Capital Programme.</w:t>
      </w:r>
      <w:r w:rsidR="00BD45DA">
        <w:rPr>
          <w:rFonts w:cs="Arial"/>
          <w:szCs w:val="24"/>
          <w:lang w:eastAsia="ar-SA"/>
        </w:rPr>
        <w:t xml:space="preserve"> </w:t>
      </w:r>
      <w:r w:rsidRPr="00333CC8">
        <w:rPr>
          <w:rFonts w:cs="Arial"/>
          <w:szCs w:val="24"/>
          <w:lang w:eastAsia="ar-SA"/>
        </w:rPr>
        <w:t xml:space="preserve"> This underspend is after allowing for a transfer of a £4m voluntary MRP provision into the revenue account, which has been transferred into the Transformation Reserve</w:t>
      </w:r>
      <w:r>
        <w:rPr>
          <w:rFonts w:cs="Arial"/>
          <w:szCs w:val="24"/>
          <w:lang w:eastAsia="ar-SA"/>
        </w:rPr>
        <w:t>.</w:t>
      </w:r>
    </w:p>
    <w:p w:rsidR="007E1B2D" w:rsidRPr="00BA760A" w:rsidRDefault="007E1B2D" w:rsidP="00400300">
      <w:pPr>
        <w:pStyle w:val="ListParagraph"/>
        <w:jc w:val="both"/>
        <w:rPr>
          <w:rFonts w:cs="Arial"/>
          <w:szCs w:val="24"/>
          <w:lang w:eastAsia="ar-SA"/>
        </w:rPr>
      </w:pPr>
    </w:p>
    <w:p w:rsidR="00B54A4A" w:rsidRPr="00291F5B" w:rsidRDefault="00333CC8">
      <w:pPr>
        <w:pStyle w:val="ListParagraph"/>
        <w:spacing w:after="240"/>
        <w:ind w:left="567" w:right="306"/>
        <w:jc w:val="both"/>
        <w:rPr>
          <w:rFonts w:cs="Arial"/>
        </w:rPr>
      </w:pPr>
      <w:r>
        <w:rPr>
          <w:rFonts w:cs="Arial"/>
          <w:szCs w:val="24"/>
          <w:lang w:eastAsia="ar-SA"/>
        </w:rPr>
        <w:t xml:space="preserve">  </w:t>
      </w:r>
      <w:r w:rsidR="0014770C" w:rsidRPr="007C7950">
        <w:rPr>
          <w:rFonts w:cs="Arial"/>
          <w:b/>
        </w:rPr>
        <w:t>Capital Receipts Flexibility 2018</w:t>
      </w:r>
      <w:r w:rsidR="00E14BD7">
        <w:rPr>
          <w:rFonts w:cs="Arial"/>
          <w:b/>
        </w:rPr>
        <w:t>/19</w:t>
      </w:r>
    </w:p>
    <w:p w:rsidR="00B54A4A" w:rsidRDefault="00781DD6" w:rsidP="00957F91">
      <w:pPr>
        <w:pStyle w:val="ListParagraph"/>
        <w:numPr>
          <w:ilvl w:val="0"/>
          <w:numId w:val="171"/>
        </w:numPr>
        <w:spacing w:after="240"/>
        <w:ind w:left="709" w:right="306" w:hanging="709"/>
        <w:jc w:val="both"/>
        <w:rPr>
          <w:rFonts w:cs="Arial"/>
        </w:rPr>
      </w:pPr>
      <w:r w:rsidRPr="00CF7900">
        <w:rPr>
          <w:rFonts w:cs="Arial"/>
        </w:rPr>
        <w:t>The budget assumed applying £2.7m</w:t>
      </w:r>
      <w:r w:rsidR="00154C20" w:rsidRPr="00595D22">
        <w:rPr>
          <w:rFonts w:cs="Arial"/>
        </w:rPr>
        <w:t xml:space="preserve"> of capital receipts to </w:t>
      </w:r>
      <w:r w:rsidR="000B5362" w:rsidRPr="00595D22">
        <w:rPr>
          <w:rFonts w:cs="Arial"/>
        </w:rPr>
        <w:t>Capital Flexibilit</w:t>
      </w:r>
      <w:r w:rsidR="00154C20" w:rsidRPr="00595D22">
        <w:rPr>
          <w:rFonts w:cs="Arial"/>
        </w:rPr>
        <w:t xml:space="preserve">ies. </w:t>
      </w:r>
      <w:r w:rsidR="00FC660C" w:rsidRPr="00595D22">
        <w:rPr>
          <w:rFonts w:cs="Arial"/>
        </w:rPr>
        <w:t xml:space="preserve"> The </w:t>
      </w:r>
      <w:r w:rsidR="0019512E" w:rsidRPr="00595D22">
        <w:rPr>
          <w:rFonts w:cs="Arial"/>
        </w:rPr>
        <w:t>value actually</w:t>
      </w:r>
      <w:r w:rsidR="00FC660C" w:rsidRPr="00595D22">
        <w:rPr>
          <w:rFonts w:cs="Arial"/>
        </w:rPr>
        <w:t xml:space="preserve"> applied was £1</w:t>
      </w:r>
      <w:r w:rsidR="00E14BD7" w:rsidRPr="00595D22">
        <w:rPr>
          <w:rFonts w:cs="Arial"/>
        </w:rPr>
        <w:t>.200</w:t>
      </w:r>
      <w:r w:rsidR="00FC660C" w:rsidRPr="00595D22">
        <w:rPr>
          <w:rFonts w:cs="Arial"/>
        </w:rPr>
        <w:t xml:space="preserve">m, </w:t>
      </w:r>
      <w:r w:rsidR="00154C20" w:rsidRPr="00595D22">
        <w:rPr>
          <w:rFonts w:cs="Arial"/>
        </w:rPr>
        <w:t xml:space="preserve">creating capacity for </w:t>
      </w:r>
      <w:r w:rsidR="00FC660C" w:rsidRPr="00595D22">
        <w:rPr>
          <w:rFonts w:cs="Arial"/>
        </w:rPr>
        <w:t>of £1.</w:t>
      </w:r>
      <w:r w:rsidR="00E14BD7" w:rsidRPr="00595D22">
        <w:rPr>
          <w:rFonts w:cs="Arial"/>
        </w:rPr>
        <w:t>5</w:t>
      </w:r>
      <w:r w:rsidR="00FC660C" w:rsidRPr="00595D22">
        <w:rPr>
          <w:rFonts w:cs="Arial"/>
        </w:rPr>
        <w:t xml:space="preserve">m to be </w:t>
      </w:r>
      <w:r w:rsidR="00FC660C" w:rsidRPr="00595D22">
        <w:rPr>
          <w:rFonts w:cs="Arial"/>
        </w:rPr>
        <w:lastRenderedPageBreak/>
        <w:t>applied in future years</w:t>
      </w:r>
      <w:r w:rsidR="004F3B56" w:rsidRPr="00595D22">
        <w:rPr>
          <w:rFonts w:cs="Arial"/>
        </w:rPr>
        <w:t xml:space="preserve">. </w:t>
      </w:r>
      <w:r w:rsidR="000B5362" w:rsidRPr="00595D22">
        <w:rPr>
          <w:rFonts w:cs="Arial"/>
        </w:rPr>
        <w:t>A d</w:t>
      </w:r>
      <w:r w:rsidR="00080DD8" w:rsidRPr="00595D22">
        <w:rPr>
          <w:rFonts w:cs="Arial"/>
        </w:rPr>
        <w:t>etai</w:t>
      </w:r>
      <w:r w:rsidR="004F3B56" w:rsidRPr="00595D22">
        <w:rPr>
          <w:rFonts w:cs="Arial"/>
        </w:rPr>
        <w:t>l</w:t>
      </w:r>
      <w:r w:rsidR="000B5362" w:rsidRPr="00595D22">
        <w:rPr>
          <w:rFonts w:cs="Arial"/>
        </w:rPr>
        <w:t>ed</w:t>
      </w:r>
      <w:r w:rsidR="004F3B56" w:rsidRPr="00595D22">
        <w:rPr>
          <w:rFonts w:cs="Arial"/>
        </w:rPr>
        <w:t xml:space="preserve"> breakdown of the £1.200m applied is included </w:t>
      </w:r>
      <w:r w:rsidR="000B5362" w:rsidRPr="00595D22">
        <w:rPr>
          <w:rFonts w:cs="Arial"/>
        </w:rPr>
        <w:t>in Appendix 2</w:t>
      </w:r>
      <w:r w:rsidR="00080DD8" w:rsidRPr="00595D22">
        <w:rPr>
          <w:rFonts w:cs="Arial"/>
        </w:rPr>
        <w:t>.</w:t>
      </w:r>
    </w:p>
    <w:p w:rsidR="00DB2BF1" w:rsidRPr="00CF7900" w:rsidRDefault="00DB2BF1" w:rsidP="00BF1A18">
      <w:pPr>
        <w:pStyle w:val="ListParagraph"/>
        <w:spacing w:after="240"/>
        <w:ind w:left="709" w:right="306"/>
        <w:jc w:val="both"/>
        <w:rPr>
          <w:rFonts w:cs="Arial"/>
        </w:rPr>
      </w:pPr>
    </w:p>
    <w:p w:rsidR="0012492C" w:rsidRDefault="0012492C" w:rsidP="00400300">
      <w:pPr>
        <w:pStyle w:val="ListParagraph"/>
        <w:rPr>
          <w:rFonts w:cs="Arial"/>
        </w:rPr>
      </w:pPr>
    </w:p>
    <w:p w:rsidR="0014770C" w:rsidRDefault="0014770C" w:rsidP="00957F91">
      <w:pPr>
        <w:pStyle w:val="ListParagraph"/>
        <w:rPr>
          <w:rFonts w:cs="Arial"/>
          <w:color w:val="FF0000"/>
        </w:rPr>
      </w:pPr>
      <w:r w:rsidRPr="00074EF4">
        <w:rPr>
          <w:rFonts w:cs="Arial"/>
          <w:b/>
        </w:rPr>
        <w:t>RESERVES</w:t>
      </w:r>
    </w:p>
    <w:p w:rsidR="00333CC8" w:rsidRPr="00957F91" w:rsidRDefault="0014770C" w:rsidP="00957F91">
      <w:pPr>
        <w:pStyle w:val="ListParagraph"/>
        <w:numPr>
          <w:ilvl w:val="0"/>
          <w:numId w:val="171"/>
        </w:numPr>
        <w:suppressAutoHyphens/>
        <w:spacing w:after="200" w:line="276" w:lineRule="auto"/>
        <w:ind w:left="709" w:hanging="709"/>
        <w:jc w:val="both"/>
        <w:rPr>
          <w:rFonts w:cs="Arial"/>
          <w:szCs w:val="24"/>
          <w:lang w:eastAsia="ar-SA"/>
        </w:rPr>
      </w:pPr>
      <w:r w:rsidRPr="00074EF4">
        <w:rPr>
          <w:rFonts w:cs="Arial"/>
        </w:rPr>
        <w:t xml:space="preserve">The </w:t>
      </w:r>
      <w:r>
        <w:rPr>
          <w:rFonts w:cs="Arial"/>
        </w:rPr>
        <w:t xml:space="preserve">main </w:t>
      </w:r>
      <w:r w:rsidRPr="00074EF4">
        <w:rPr>
          <w:rFonts w:cs="Arial"/>
        </w:rPr>
        <w:t xml:space="preserve">reserves </w:t>
      </w:r>
      <w:r>
        <w:rPr>
          <w:rFonts w:cs="Arial"/>
        </w:rPr>
        <w:t>are</w:t>
      </w:r>
      <w:r w:rsidRPr="00074EF4">
        <w:rPr>
          <w:rFonts w:cs="Arial"/>
        </w:rPr>
        <w:t xml:space="preserve"> set out in the </w:t>
      </w:r>
      <w:r>
        <w:rPr>
          <w:rFonts w:cs="Arial"/>
        </w:rPr>
        <w:t xml:space="preserve">following </w:t>
      </w:r>
      <w:r w:rsidRPr="00074EF4">
        <w:rPr>
          <w:rFonts w:cs="Arial"/>
        </w:rPr>
        <w:t>table</w:t>
      </w:r>
      <w:r>
        <w:rPr>
          <w:rFonts w:cs="Arial"/>
        </w:rPr>
        <w:t>, supported by narrative. A more detailed analysis of the movement in reserves is set out in Appendix 3.</w:t>
      </w:r>
    </w:p>
    <w:p w:rsidR="0017736A" w:rsidRDefault="0017736A" w:rsidP="00C74989">
      <w:pPr>
        <w:suppressAutoHyphens/>
        <w:spacing w:after="200" w:line="276" w:lineRule="auto"/>
        <w:ind w:left="709"/>
        <w:jc w:val="both"/>
        <w:rPr>
          <w:rFonts w:cs="Arial"/>
          <w:szCs w:val="24"/>
          <w:lang w:eastAsia="ar-SA"/>
        </w:rPr>
      </w:pPr>
    </w:p>
    <w:p w:rsidR="0017736A" w:rsidRDefault="0017736A" w:rsidP="00957F91">
      <w:pPr>
        <w:suppressAutoHyphens/>
        <w:spacing w:after="200" w:line="276" w:lineRule="auto"/>
        <w:jc w:val="both"/>
        <w:rPr>
          <w:rFonts w:cs="Arial"/>
          <w:szCs w:val="24"/>
          <w:lang w:eastAsia="ar-SA"/>
        </w:rPr>
      </w:pPr>
    </w:p>
    <w:p w:rsidR="0017736A" w:rsidRDefault="0017736A" w:rsidP="00957F91">
      <w:pPr>
        <w:suppressAutoHyphens/>
        <w:spacing w:after="200" w:line="276" w:lineRule="auto"/>
        <w:jc w:val="both"/>
        <w:rPr>
          <w:rFonts w:cs="Arial"/>
          <w:szCs w:val="24"/>
          <w:lang w:eastAsia="ar-SA"/>
        </w:rPr>
      </w:pPr>
    </w:p>
    <w:p w:rsidR="0017736A" w:rsidRDefault="0017736A" w:rsidP="00957F91">
      <w:pPr>
        <w:suppressAutoHyphens/>
        <w:spacing w:after="200" w:line="276" w:lineRule="auto"/>
        <w:jc w:val="both"/>
        <w:rPr>
          <w:rFonts w:cs="Arial"/>
          <w:szCs w:val="24"/>
          <w:lang w:eastAsia="ar-SA"/>
        </w:rPr>
      </w:pPr>
    </w:p>
    <w:p w:rsidR="0017736A" w:rsidRDefault="0017736A" w:rsidP="00957F91">
      <w:pPr>
        <w:suppressAutoHyphens/>
        <w:spacing w:after="200" w:line="276" w:lineRule="auto"/>
        <w:jc w:val="both"/>
        <w:rPr>
          <w:rFonts w:cs="Arial"/>
          <w:szCs w:val="24"/>
          <w:lang w:eastAsia="ar-SA"/>
        </w:rPr>
      </w:pPr>
      <w:bookmarkStart w:id="0" w:name="_GoBack"/>
      <w:bookmarkEnd w:id="0"/>
    </w:p>
    <w:p w:rsidR="0017736A" w:rsidRDefault="0017736A" w:rsidP="00957F91">
      <w:pPr>
        <w:suppressAutoHyphens/>
        <w:spacing w:after="200" w:line="276" w:lineRule="auto"/>
        <w:jc w:val="both"/>
        <w:rPr>
          <w:rFonts w:cs="Arial"/>
          <w:szCs w:val="24"/>
          <w:lang w:eastAsia="ar-SA"/>
        </w:rPr>
      </w:pPr>
    </w:p>
    <w:p w:rsidR="0017736A" w:rsidRDefault="0017736A" w:rsidP="00957F91">
      <w:pPr>
        <w:suppressAutoHyphens/>
        <w:spacing w:after="200" w:line="276" w:lineRule="auto"/>
        <w:jc w:val="both"/>
        <w:rPr>
          <w:rFonts w:cs="Arial"/>
          <w:szCs w:val="24"/>
          <w:lang w:eastAsia="ar-SA"/>
        </w:rPr>
      </w:pPr>
    </w:p>
    <w:p w:rsidR="00333CC8" w:rsidRPr="00957F91" w:rsidRDefault="00333CC8" w:rsidP="00C74989">
      <w:pPr>
        <w:suppressAutoHyphens/>
        <w:spacing w:after="200" w:line="276" w:lineRule="auto"/>
        <w:ind w:firstLine="709"/>
        <w:jc w:val="both"/>
        <w:rPr>
          <w:rFonts w:cs="Arial"/>
          <w:b/>
          <w:szCs w:val="24"/>
          <w:u w:val="single"/>
          <w:lang w:eastAsia="ar-SA"/>
        </w:rPr>
      </w:pPr>
      <w:r w:rsidRPr="00957F91">
        <w:rPr>
          <w:rFonts w:cs="Arial"/>
          <w:b/>
          <w:szCs w:val="24"/>
          <w:u w:val="single"/>
          <w:lang w:eastAsia="ar-SA"/>
        </w:rPr>
        <w:t xml:space="preserve">Table </w:t>
      </w:r>
      <w:r w:rsidR="0017736A">
        <w:rPr>
          <w:rFonts w:cs="Arial"/>
          <w:b/>
          <w:szCs w:val="24"/>
          <w:u w:val="single"/>
          <w:lang w:eastAsia="ar-SA"/>
        </w:rPr>
        <w:t>4</w:t>
      </w:r>
      <w:r w:rsidRPr="00957F91">
        <w:rPr>
          <w:rFonts w:cs="Arial"/>
          <w:b/>
          <w:szCs w:val="24"/>
          <w:u w:val="single"/>
          <w:lang w:eastAsia="ar-SA"/>
        </w:rPr>
        <w:t xml:space="preserve">: Movement </w:t>
      </w:r>
      <w:proofErr w:type="gramStart"/>
      <w:r w:rsidRPr="00957F91">
        <w:rPr>
          <w:rFonts w:cs="Arial"/>
          <w:b/>
          <w:szCs w:val="24"/>
          <w:u w:val="single"/>
          <w:lang w:eastAsia="ar-SA"/>
        </w:rPr>
        <w:t>In</w:t>
      </w:r>
      <w:proofErr w:type="gramEnd"/>
      <w:r w:rsidRPr="00957F91">
        <w:rPr>
          <w:rFonts w:cs="Arial"/>
          <w:b/>
          <w:szCs w:val="24"/>
          <w:u w:val="single"/>
          <w:lang w:eastAsia="ar-SA"/>
        </w:rPr>
        <w:t xml:space="preserve"> Main Reserves</w:t>
      </w:r>
    </w:p>
    <w:p w:rsidR="0074553D" w:rsidRDefault="00333CC8" w:rsidP="00957F91">
      <w:pPr>
        <w:pStyle w:val="ListParagraph"/>
        <w:suppressAutoHyphens/>
        <w:spacing w:after="200" w:line="276" w:lineRule="auto"/>
        <w:ind w:left="709"/>
        <w:jc w:val="both"/>
        <w:rPr>
          <w:rFonts w:cs="Arial"/>
          <w:b/>
          <w:szCs w:val="24"/>
          <w:u w:val="single"/>
          <w:lang w:eastAsia="ar-SA"/>
        </w:rPr>
      </w:pPr>
      <w:r w:rsidRPr="00957F91">
        <w:rPr>
          <w:rFonts w:cs="Arial"/>
          <w:b/>
          <w:noProof/>
          <w:szCs w:val="24"/>
          <w:lang w:eastAsia="en-GB"/>
        </w:rPr>
        <w:drawing>
          <wp:inline distT="0" distB="0" distL="0" distR="0" wp14:anchorId="3FAB50A7" wp14:editId="2A41E5F2">
            <wp:extent cx="6120765" cy="443801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4438015"/>
                    </a:xfrm>
                    <a:prstGeom prst="rect">
                      <a:avLst/>
                    </a:prstGeom>
                    <a:noFill/>
                  </pic:spPr>
                </pic:pic>
              </a:graphicData>
            </a:graphic>
          </wp:inline>
        </w:drawing>
      </w:r>
    </w:p>
    <w:p w:rsidR="00333CC8" w:rsidRPr="00957F91" w:rsidRDefault="00333CC8" w:rsidP="00957F91">
      <w:pPr>
        <w:pStyle w:val="ListParagraph"/>
        <w:suppressAutoHyphens/>
        <w:spacing w:after="200" w:line="276" w:lineRule="auto"/>
        <w:ind w:left="709"/>
        <w:jc w:val="both"/>
        <w:rPr>
          <w:rFonts w:cs="Arial"/>
          <w:b/>
          <w:szCs w:val="24"/>
          <w:u w:val="single"/>
          <w:lang w:eastAsia="ar-SA"/>
        </w:rPr>
      </w:pPr>
    </w:p>
    <w:p w:rsidR="005B4F2E" w:rsidRDefault="00154C20" w:rsidP="00957F91">
      <w:pPr>
        <w:pStyle w:val="ListParagraph"/>
        <w:numPr>
          <w:ilvl w:val="0"/>
          <w:numId w:val="171"/>
        </w:numPr>
        <w:suppressAutoHyphens/>
        <w:spacing w:after="200" w:line="276" w:lineRule="auto"/>
        <w:ind w:left="709" w:hanging="709"/>
        <w:jc w:val="both"/>
        <w:rPr>
          <w:rFonts w:cs="Arial"/>
          <w:szCs w:val="24"/>
          <w:lang w:eastAsia="ar-SA"/>
        </w:rPr>
      </w:pPr>
      <w:r>
        <w:rPr>
          <w:rFonts w:cs="Arial"/>
          <w:b/>
          <w:szCs w:val="24"/>
          <w:lang w:eastAsia="ar-SA"/>
        </w:rPr>
        <w:t xml:space="preserve">CIL </w:t>
      </w:r>
      <w:r w:rsidR="005B4F2E" w:rsidRPr="0014770C">
        <w:rPr>
          <w:rFonts w:cs="Arial"/>
          <w:b/>
          <w:szCs w:val="24"/>
          <w:lang w:eastAsia="ar-SA"/>
        </w:rPr>
        <w:t>Harrow Reserve</w:t>
      </w:r>
      <w:r w:rsidR="005B4F2E" w:rsidRPr="0014770C">
        <w:rPr>
          <w:rFonts w:cs="Arial"/>
          <w:szCs w:val="24"/>
          <w:lang w:eastAsia="ar-SA"/>
        </w:rPr>
        <w:t xml:space="preserve"> – The </w:t>
      </w:r>
      <w:r w:rsidR="005B4F2E" w:rsidRPr="0014770C">
        <w:rPr>
          <w:rFonts w:cs="Arial"/>
          <w:b/>
          <w:bCs/>
          <w:szCs w:val="24"/>
          <w:lang w:eastAsia="ar-SA"/>
        </w:rPr>
        <w:t>Community</w:t>
      </w:r>
      <w:r w:rsidR="005B4F2E" w:rsidRPr="0014770C">
        <w:rPr>
          <w:rFonts w:cs="Arial"/>
          <w:szCs w:val="24"/>
          <w:lang w:eastAsia="ar-SA"/>
        </w:rPr>
        <w:t xml:space="preserve"> </w:t>
      </w:r>
      <w:r w:rsidR="005B4F2E" w:rsidRPr="0014770C">
        <w:rPr>
          <w:rFonts w:cs="Arial"/>
          <w:b/>
          <w:bCs/>
          <w:szCs w:val="24"/>
          <w:lang w:eastAsia="ar-SA"/>
        </w:rPr>
        <w:t>Infrastructure</w:t>
      </w:r>
      <w:r w:rsidR="005B4F2E" w:rsidRPr="0014770C">
        <w:rPr>
          <w:rFonts w:cs="Arial"/>
          <w:szCs w:val="24"/>
          <w:lang w:eastAsia="ar-SA"/>
        </w:rPr>
        <w:t xml:space="preserve"> </w:t>
      </w:r>
      <w:r w:rsidR="005B4F2E" w:rsidRPr="0014770C">
        <w:rPr>
          <w:rFonts w:cs="Arial"/>
          <w:b/>
          <w:bCs/>
          <w:szCs w:val="24"/>
          <w:lang w:eastAsia="ar-SA"/>
        </w:rPr>
        <w:t>Levy</w:t>
      </w:r>
      <w:r w:rsidR="005B4F2E" w:rsidRPr="0014770C">
        <w:rPr>
          <w:rFonts w:cs="Arial"/>
          <w:szCs w:val="24"/>
          <w:lang w:eastAsia="ar-SA"/>
        </w:rPr>
        <w:t xml:space="preserve"> is a planning charge, introduced by the Planning Act 2008 as a tool for local authorities in England and Wales to help deliver infrastructure to support the development of their area. Harrow has £</w:t>
      </w:r>
      <w:r w:rsidR="00355BDD">
        <w:rPr>
          <w:rFonts w:cs="Arial"/>
          <w:szCs w:val="24"/>
          <w:lang w:eastAsia="ar-SA"/>
        </w:rPr>
        <w:t>5.887</w:t>
      </w:r>
      <w:r w:rsidR="005B4F2E" w:rsidRPr="0014770C">
        <w:rPr>
          <w:rFonts w:cs="Arial"/>
          <w:szCs w:val="24"/>
          <w:lang w:eastAsia="ar-SA"/>
        </w:rPr>
        <w:t>m in the reserve as at 31</w:t>
      </w:r>
      <w:r w:rsidR="005B4F2E" w:rsidRPr="0014770C">
        <w:rPr>
          <w:rFonts w:cs="Arial"/>
          <w:szCs w:val="24"/>
          <w:vertAlign w:val="superscript"/>
          <w:lang w:eastAsia="ar-SA"/>
        </w:rPr>
        <w:t>st</w:t>
      </w:r>
      <w:r w:rsidR="005B4F2E" w:rsidRPr="0014770C">
        <w:rPr>
          <w:rFonts w:cs="Arial"/>
          <w:szCs w:val="24"/>
          <w:lang w:eastAsia="ar-SA"/>
        </w:rPr>
        <w:t xml:space="preserve"> March 201</w:t>
      </w:r>
      <w:r w:rsidR="005B4F2E">
        <w:rPr>
          <w:rFonts w:cs="Arial"/>
          <w:szCs w:val="24"/>
          <w:lang w:eastAsia="ar-SA"/>
        </w:rPr>
        <w:t>9</w:t>
      </w:r>
      <w:r w:rsidR="005B4F2E" w:rsidRPr="0014770C">
        <w:rPr>
          <w:rFonts w:cs="Arial"/>
          <w:szCs w:val="24"/>
          <w:lang w:eastAsia="ar-SA"/>
        </w:rPr>
        <w:t>, £</w:t>
      </w:r>
      <w:r w:rsidR="005B4F2E">
        <w:rPr>
          <w:rFonts w:cs="Arial"/>
          <w:szCs w:val="24"/>
          <w:lang w:eastAsia="ar-SA"/>
        </w:rPr>
        <w:t>3.4</w:t>
      </w:r>
      <w:r w:rsidR="00355BDD">
        <w:rPr>
          <w:rFonts w:cs="Arial"/>
          <w:szCs w:val="24"/>
          <w:lang w:eastAsia="ar-SA"/>
        </w:rPr>
        <w:t>05</w:t>
      </w:r>
      <w:r w:rsidR="005B4F2E" w:rsidRPr="0014770C">
        <w:rPr>
          <w:rFonts w:cs="Arial"/>
          <w:szCs w:val="24"/>
          <w:lang w:eastAsia="ar-SA"/>
        </w:rPr>
        <w:t>m has been added during the year and £</w:t>
      </w:r>
      <w:r w:rsidR="005B4F2E">
        <w:rPr>
          <w:rFonts w:cs="Arial"/>
          <w:szCs w:val="24"/>
          <w:lang w:eastAsia="ar-SA"/>
        </w:rPr>
        <w:t>0</w:t>
      </w:r>
      <w:r w:rsidR="005B4F2E" w:rsidRPr="0014770C">
        <w:rPr>
          <w:rFonts w:cs="Arial"/>
          <w:szCs w:val="24"/>
          <w:lang w:eastAsia="ar-SA"/>
        </w:rPr>
        <w:t>.</w:t>
      </w:r>
      <w:r w:rsidR="005B4F2E">
        <w:rPr>
          <w:rFonts w:cs="Arial"/>
          <w:szCs w:val="24"/>
          <w:lang w:eastAsia="ar-SA"/>
        </w:rPr>
        <w:t>343</w:t>
      </w:r>
      <w:r w:rsidR="005B4F2E" w:rsidRPr="0014770C">
        <w:rPr>
          <w:rFonts w:cs="Arial"/>
          <w:szCs w:val="24"/>
          <w:lang w:eastAsia="ar-SA"/>
        </w:rPr>
        <w:t>m drawn down, giving a closing balance of £</w:t>
      </w:r>
      <w:r w:rsidR="00355BDD">
        <w:rPr>
          <w:rFonts w:cs="Arial"/>
          <w:szCs w:val="24"/>
          <w:lang w:eastAsia="ar-SA"/>
        </w:rPr>
        <w:t>8.948</w:t>
      </w:r>
      <w:r w:rsidR="005B4F2E" w:rsidRPr="0014770C">
        <w:rPr>
          <w:rFonts w:cs="Arial"/>
          <w:szCs w:val="24"/>
          <w:lang w:eastAsia="ar-SA"/>
        </w:rPr>
        <w:t>m.</w:t>
      </w:r>
      <w:r w:rsidR="005B4F2E">
        <w:rPr>
          <w:rFonts w:cs="Arial"/>
          <w:szCs w:val="24"/>
          <w:lang w:eastAsia="ar-SA"/>
        </w:rPr>
        <w:t xml:space="preserve"> This will be used to fund Capital Programmes in future.</w:t>
      </w:r>
    </w:p>
    <w:p w:rsidR="005B4F2E" w:rsidRDefault="005B4F2E" w:rsidP="00400300">
      <w:pPr>
        <w:pStyle w:val="ListParagraph"/>
        <w:suppressAutoHyphens/>
        <w:spacing w:after="200" w:line="276" w:lineRule="auto"/>
        <w:ind w:left="360"/>
        <w:jc w:val="both"/>
        <w:rPr>
          <w:rFonts w:cs="Arial"/>
          <w:szCs w:val="24"/>
          <w:lang w:eastAsia="ar-SA"/>
        </w:rPr>
      </w:pPr>
    </w:p>
    <w:p w:rsidR="005B4F2E" w:rsidRPr="00400300" w:rsidRDefault="00D44FF8" w:rsidP="00957F91">
      <w:pPr>
        <w:pStyle w:val="ListParagraph"/>
        <w:numPr>
          <w:ilvl w:val="0"/>
          <w:numId w:val="171"/>
        </w:numPr>
        <w:suppressAutoHyphens/>
        <w:spacing w:after="200" w:line="276" w:lineRule="auto"/>
        <w:ind w:left="709" w:hanging="709"/>
        <w:jc w:val="both"/>
        <w:rPr>
          <w:rFonts w:cs="Arial"/>
          <w:b/>
          <w:szCs w:val="24"/>
          <w:lang w:eastAsia="ar-SA"/>
        </w:rPr>
      </w:pPr>
      <w:r>
        <w:rPr>
          <w:rFonts w:cs="Arial"/>
          <w:b/>
          <w:szCs w:val="24"/>
          <w:lang w:eastAsia="ar-SA"/>
        </w:rPr>
        <w:t>Business Risk/</w:t>
      </w:r>
      <w:r w:rsidR="00154C20">
        <w:rPr>
          <w:rFonts w:cs="Arial"/>
          <w:b/>
          <w:szCs w:val="24"/>
          <w:lang w:eastAsia="ar-SA"/>
        </w:rPr>
        <w:t xml:space="preserve">GF </w:t>
      </w:r>
      <w:r w:rsidR="005B4F2E">
        <w:rPr>
          <w:rFonts w:cs="Arial"/>
          <w:b/>
          <w:szCs w:val="24"/>
          <w:lang w:eastAsia="ar-SA"/>
        </w:rPr>
        <w:t>Transformation Reserve</w:t>
      </w:r>
      <w:r w:rsidR="005B4F2E" w:rsidRPr="0014770C">
        <w:rPr>
          <w:rFonts w:cs="Arial"/>
          <w:b/>
          <w:szCs w:val="24"/>
          <w:lang w:eastAsia="ar-SA"/>
        </w:rPr>
        <w:t xml:space="preserve"> </w:t>
      </w:r>
      <w:r w:rsidR="005B4F2E">
        <w:rPr>
          <w:rFonts w:cs="Arial"/>
          <w:b/>
          <w:szCs w:val="24"/>
          <w:lang w:eastAsia="ar-SA"/>
        </w:rPr>
        <w:t>–</w:t>
      </w:r>
      <w:r w:rsidR="005B4F2E">
        <w:rPr>
          <w:rFonts w:cs="Arial"/>
          <w:szCs w:val="24"/>
          <w:lang w:eastAsia="ar-SA"/>
        </w:rPr>
        <w:t xml:space="preserve"> </w:t>
      </w:r>
      <w:r w:rsidR="00BB7394">
        <w:rPr>
          <w:rFonts w:cs="Arial"/>
          <w:szCs w:val="24"/>
          <w:lang w:eastAsia="ar-SA"/>
        </w:rPr>
        <w:t>E</w:t>
      </w:r>
      <w:r w:rsidR="006513BD">
        <w:rPr>
          <w:rFonts w:cs="Arial"/>
          <w:szCs w:val="24"/>
          <w:lang w:eastAsia="ar-SA"/>
        </w:rPr>
        <w:t xml:space="preserve">stablished to cover potential shortfall/risk of achieving sufficient savings to cover future </w:t>
      </w:r>
      <w:r w:rsidR="00CE608E">
        <w:rPr>
          <w:rFonts w:cs="Arial"/>
          <w:szCs w:val="24"/>
          <w:lang w:eastAsia="ar-SA"/>
        </w:rPr>
        <w:t>year budget</w:t>
      </w:r>
      <w:r w:rsidR="006513BD">
        <w:rPr>
          <w:rFonts w:cs="Arial"/>
          <w:szCs w:val="24"/>
          <w:lang w:eastAsia="ar-SA"/>
        </w:rPr>
        <w:t xml:space="preserve"> gaps.</w:t>
      </w:r>
    </w:p>
    <w:p w:rsidR="005B4F2E" w:rsidRPr="00400300" w:rsidRDefault="005B4F2E" w:rsidP="00400300">
      <w:pPr>
        <w:pStyle w:val="ListParagraph"/>
        <w:rPr>
          <w:rFonts w:cs="Arial"/>
          <w:b/>
          <w:szCs w:val="24"/>
          <w:lang w:eastAsia="ar-SA"/>
        </w:rPr>
      </w:pPr>
    </w:p>
    <w:p w:rsidR="005B4F2E" w:rsidRPr="00400300" w:rsidRDefault="005B4F2E" w:rsidP="00957F91">
      <w:pPr>
        <w:pStyle w:val="ListParagraph"/>
        <w:numPr>
          <w:ilvl w:val="0"/>
          <w:numId w:val="171"/>
        </w:numPr>
        <w:suppressAutoHyphens/>
        <w:spacing w:after="200" w:line="276" w:lineRule="auto"/>
        <w:ind w:left="709" w:hanging="709"/>
        <w:jc w:val="both"/>
        <w:rPr>
          <w:rFonts w:cs="Arial"/>
          <w:b/>
          <w:szCs w:val="24"/>
          <w:lang w:eastAsia="ar-SA"/>
        </w:rPr>
      </w:pPr>
      <w:r w:rsidRPr="00650283">
        <w:rPr>
          <w:rFonts w:cs="Arial"/>
          <w:b/>
          <w:szCs w:val="24"/>
          <w:lang w:eastAsia="ar-SA"/>
        </w:rPr>
        <w:t>Budget Planning Reserve</w:t>
      </w:r>
      <w:r w:rsidRPr="00650283">
        <w:rPr>
          <w:rFonts w:cs="Arial"/>
          <w:szCs w:val="24"/>
          <w:lang w:eastAsia="ar-SA"/>
        </w:rPr>
        <w:t xml:space="preserve"> </w:t>
      </w:r>
      <w:proofErr w:type="gramStart"/>
      <w:r w:rsidRPr="00650283">
        <w:rPr>
          <w:rFonts w:cs="Arial"/>
          <w:szCs w:val="24"/>
          <w:lang w:eastAsia="ar-SA"/>
        </w:rPr>
        <w:t xml:space="preserve">– </w:t>
      </w:r>
      <w:r w:rsidR="008602C1">
        <w:rPr>
          <w:rFonts w:cs="Arial"/>
          <w:szCs w:val="24"/>
          <w:lang w:eastAsia="ar-SA"/>
        </w:rPr>
        <w:t xml:space="preserve"> </w:t>
      </w:r>
      <w:r w:rsidR="005821AF" w:rsidRPr="005821AF">
        <w:rPr>
          <w:rFonts w:cs="Arial"/>
          <w:szCs w:val="24"/>
          <w:lang w:eastAsia="ar-SA"/>
        </w:rPr>
        <w:t>The</w:t>
      </w:r>
      <w:proofErr w:type="gramEnd"/>
      <w:r w:rsidR="005821AF" w:rsidRPr="005821AF">
        <w:rPr>
          <w:rFonts w:cs="Arial"/>
          <w:szCs w:val="24"/>
          <w:lang w:eastAsia="ar-SA"/>
        </w:rPr>
        <w:t xml:space="preserve"> balance at the b</w:t>
      </w:r>
      <w:r w:rsidR="005821AF">
        <w:rPr>
          <w:rFonts w:cs="Arial"/>
          <w:szCs w:val="24"/>
          <w:lang w:eastAsia="ar-SA"/>
        </w:rPr>
        <w:t xml:space="preserve">eginning of the year was £6.184m. </w:t>
      </w:r>
      <w:r w:rsidR="005821AF" w:rsidRPr="005821AF">
        <w:rPr>
          <w:rFonts w:cs="Arial"/>
          <w:szCs w:val="24"/>
          <w:lang w:eastAsia="ar-SA"/>
        </w:rPr>
        <w:t>£0.910m has been added to this reserve</w:t>
      </w:r>
      <w:r w:rsidR="005821AF">
        <w:rPr>
          <w:rFonts w:cs="Arial"/>
          <w:szCs w:val="24"/>
          <w:lang w:eastAsia="ar-SA"/>
        </w:rPr>
        <w:t>, which leaves a balance of £6.829m at 31</w:t>
      </w:r>
      <w:r w:rsidR="005821AF" w:rsidRPr="00957F91">
        <w:rPr>
          <w:rFonts w:cs="Arial"/>
          <w:szCs w:val="24"/>
          <w:vertAlign w:val="superscript"/>
          <w:lang w:eastAsia="ar-SA"/>
        </w:rPr>
        <w:t>st</w:t>
      </w:r>
      <w:r w:rsidR="005821AF">
        <w:rPr>
          <w:rFonts w:cs="Arial"/>
          <w:szCs w:val="24"/>
          <w:lang w:eastAsia="ar-SA"/>
        </w:rPr>
        <w:t xml:space="preserve"> of March 2019.</w:t>
      </w:r>
    </w:p>
    <w:p w:rsidR="009665C3" w:rsidRPr="00400300" w:rsidRDefault="009665C3" w:rsidP="00400300">
      <w:pPr>
        <w:pStyle w:val="ListParagraph"/>
        <w:rPr>
          <w:rFonts w:cs="Arial"/>
          <w:b/>
          <w:szCs w:val="24"/>
          <w:lang w:eastAsia="ar-SA"/>
        </w:rPr>
      </w:pPr>
    </w:p>
    <w:p w:rsidR="009665C3" w:rsidRPr="004B71E6" w:rsidRDefault="009665C3" w:rsidP="00957F91">
      <w:pPr>
        <w:pStyle w:val="ListParagraph"/>
        <w:numPr>
          <w:ilvl w:val="0"/>
          <w:numId w:val="171"/>
        </w:numPr>
        <w:suppressAutoHyphens/>
        <w:spacing w:after="200" w:line="276" w:lineRule="auto"/>
        <w:ind w:left="709" w:hanging="709"/>
        <w:jc w:val="both"/>
        <w:rPr>
          <w:rFonts w:cs="Arial"/>
          <w:b/>
          <w:szCs w:val="24"/>
          <w:lang w:eastAsia="ar-SA"/>
        </w:rPr>
      </w:pPr>
      <w:r w:rsidRPr="004B71E6">
        <w:rPr>
          <w:rFonts w:cs="Arial"/>
          <w:b/>
          <w:szCs w:val="24"/>
          <w:lang w:eastAsia="ar-SA"/>
        </w:rPr>
        <w:lastRenderedPageBreak/>
        <w:t xml:space="preserve">Revenue Grant Reserve – </w:t>
      </w:r>
      <w:r w:rsidRPr="004B71E6">
        <w:rPr>
          <w:rFonts w:cs="Arial"/>
          <w:szCs w:val="24"/>
          <w:lang w:eastAsia="ar-SA"/>
        </w:rPr>
        <w:t xml:space="preserve">This reserve </w:t>
      </w:r>
      <w:r w:rsidR="00BB7394" w:rsidRPr="004B71E6">
        <w:rPr>
          <w:rFonts w:cs="Arial"/>
          <w:szCs w:val="24"/>
          <w:lang w:eastAsia="ar-SA"/>
        </w:rPr>
        <w:t>holds</w:t>
      </w:r>
      <w:r w:rsidRPr="004B71E6">
        <w:rPr>
          <w:rFonts w:cs="Arial"/>
          <w:szCs w:val="24"/>
          <w:lang w:eastAsia="ar-SA"/>
        </w:rPr>
        <w:t xml:space="preserve"> revenue grants to be used for specific purposes or which may be subject to claw back if conditions of the grant are not met.  The net contribution to this reserve in 2018/19 is £1.809m, bringing the total to £4.940m as at 31</w:t>
      </w:r>
      <w:r w:rsidRPr="004B71E6">
        <w:rPr>
          <w:rFonts w:cs="Arial"/>
          <w:szCs w:val="24"/>
          <w:vertAlign w:val="superscript"/>
          <w:lang w:eastAsia="ar-SA"/>
        </w:rPr>
        <w:t>st</w:t>
      </w:r>
      <w:r w:rsidRPr="004B71E6">
        <w:rPr>
          <w:rFonts w:cs="Arial"/>
          <w:szCs w:val="24"/>
          <w:lang w:eastAsia="ar-SA"/>
        </w:rPr>
        <w:t xml:space="preserve"> March 2019.</w:t>
      </w:r>
    </w:p>
    <w:p w:rsidR="009665C3" w:rsidRDefault="009665C3" w:rsidP="00957F91">
      <w:pPr>
        <w:pStyle w:val="ListParagraph"/>
        <w:numPr>
          <w:ilvl w:val="0"/>
          <w:numId w:val="171"/>
        </w:numPr>
        <w:suppressAutoHyphens/>
        <w:spacing w:after="200" w:line="276" w:lineRule="auto"/>
        <w:ind w:left="709" w:hanging="709"/>
        <w:jc w:val="both"/>
        <w:rPr>
          <w:rFonts w:cs="Arial"/>
          <w:szCs w:val="24"/>
          <w:lang w:eastAsia="ar-SA"/>
        </w:rPr>
      </w:pPr>
      <w:r w:rsidRPr="009665C3">
        <w:rPr>
          <w:rFonts w:cs="Arial"/>
          <w:b/>
          <w:szCs w:val="24"/>
          <w:lang w:eastAsia="ar-SA"/>
        </w:rPr>
        <w:t xml:space="preserve">Business Rate Pool Reserve – </w:t>
      </w:r>
      <w:r w:rsidRPr="00400300">
        <w:rPr>
          <w:rFonts w:cs="Arial"/>
          <w:szCs w:val="24"/>
          <w:lang w:eastAsia="ar-SA"/>
        </w:rPr>
        <w:t xml:space="preserve">This reserve </w:t>
      </w:r>
      <w:r w:rsidR="006513BD">
        <w:rPr>
          <w:rFonts w:cs="Arial"/>
          <w:szCs w:val="24"/>
          <w:lang w:eastAsia="ar-SA"/>
        </w:rPr>
        <w:t xml:space="preserve">of £4.279m </w:t>
      </w:r>
      <w:r w:rsidRPr="00400300">
        <w:rPr>
          <w:rFonts w:cs="Arial"/>
          <w:szCs w:val="24"/>
          <w:lang w:eastAsia="ar-SA"/>
        </w:rPr>
        <w:t>relates to the funding from the 2018/19 Business Rate</w:t>
      </w:r>
      <w:r w:rsidR="006513BD">
        <w:rPr>
          <w:rFonts w:cs="Arial"/>
          <w:szCs w:val="24"/>
          <w:lang w:eastAsia="ar-SA"/>
        </w:rPr>
        <w:t>s</w:t>
      </w:r>
      <w:r w:rsidRPr="00400300">
        <w:rPr>
          <w:rFonts w:cs="Arial"/>
          <w:szCs w:val="24"/>
          <w:lang w:eastAsia="ar-SA"/>
        </w:rPr>
        <w:t xml:space="preserve"> Pool and additional one-off Section 31 funding</w:t>
      </w:r>
      <w:r w:rsidR="006513BD">
        <w:rPr>
          <w:rFonts w:cs="Arial"/>
          <w:szCs w:val="24"/>
          <w:lang w:eastAsia="ar-SA"/>
        </w:rPr>
        <w:t>.  Th</w:t>
      </w:r>
      <w:r w:rsidR="00BB7394">
        <w:rPr>
          <w:rFonts w:cs="Arial"/>
          <w:szCs w:val="24"/>
          <w:lang w:eastAsia="ar-SA"/>
        </w:rPr>
        <w:t xml:space="preserve">e full value is built into </w:t>
      </w:r>
      <w:r w:rsidR="006513BD">
        <w:rPr>
          <w:rFonts w:cs="Arial"/>
          <w:szCs w:val="24"/>
          <w:lang w:eastAsia="ar-SA"/>
        </w:rPr>
        <w:t>the 2019/20 budget.</w:t>
      </w:r>
    </w:p>
    <w:p w:rsidR="009665C3" w:rsidRPr="00427567" w:rsidRDefault="009665C3" w:rsidP="00400300">
      <w:pPr>
        <w:pStyle w:val="ListParagraph"/>
        <w:rPr>
          <w:rFonts w:cs="Arial"/>
          <w:szCs w:val="24"/>
          <w:lang w:eastAsia="ar-SA"/>
        </w:rPr>
      </w:pPr>
    </w:p>
    <w:p w:rsidR="009665C3" w:rsidRDefault="009665C3" w:rsidP="00957F91">
      <w:pPr>
        <w:pStyle w:val="ListParagraph"/>
        <w:numPr>
          <w:ilvl w:val="0"/>
          <w:numId w:val="171"/>
        </w:numPr>
        <w:suppressAutoHyphens/>
        <w:spacing w:after="200" w:line="276" w:lineRule="auto"/>
        <w:ind w:left="709" w:hanging="709"/>
        <w:jc w:val="both"/>
        <w:rPr>
          <w:rFonts w:cs="Arial"/>
          <w:szCs w:val="24"/>
          <w:lang w:eastAsia="ar-SA"/>
        </w:rPr>
      </w:pPr>
      <w:r w:rsidRPr="009665C3">
        <w:rPr>
          <w:rFonts w:cs="Arial"/>
          <w:b/>
          <w:szCs w:val="24"/>
          <w:lang w:eastAsia="ar-SA"/>
        </w:rPr>
        <w:t xml:space="preserve">Capacity Building Reserve – </w:t>
      </w:r>
      <w:r w:rsidRPr="009665C3">
        <w:rPr>
          <w:rFonts w:cs="Arial"/>
          <w:szCs w:val="24"/>
          <w:lang w:eastAsia="ar-SA"/>
        </w:rPr>
        <w:t>This reserve was set up at the end of last year 31</w:t>
      </w:r>
      <w:r w:rsidRPr="009665C3">
        <w:rPr>
          <w:rFonts w:cs="Arial"/>
          <w:szCs w:val="24"/>
          <w:vertAlign w:val="superscript"/>
          <w:lang w:eastAsia="ar-SA"/>
        </w:rPr>
        <w:t>st</w:t>
      </w:r>
      <w:r w:rsidRPr="009665C3">
        <w:rPr>
          <w:rFonts w:cs="Arial"/>
          <w:szCs w:val="24"/>
          <w:lang w:eastAsia="ar-SA"/>
        </w:rPr>
        <w:t xml:space="preserve"> of March 2018 with a sum of £1.198m. £0.937m has been draw down </w:t>
      </w:r>
      <w:r w:rsidR="00BB7394">
        <w:rPr>
          <w:rFonts w:cs="Arial"/>
          <w:szCs w:val="24"/>
          <w:lang w:eastAsia="ar-SA"/>
        </w:rPr>
        <w:t xml:space="preserve">in </w:t>
      </w:r>
      <w:proofErr w:type="gramStart"/>
      <w:r w:rsidR="00BB7394">
        <w:rPr>
          <w:rFonts w:cs="Arial"/>
          <w:szCs w:val="24"/>
          <w:lang w:eastAsia="ar-SA"/>
        </w:rPr>
        <w:t xml:space="preserve">year </w:t>
      </w:r>
      <w:r w:rsidRPr="009665C3">
        <w:rPr>
          <w:rFonts w:cs="Arial"/>
          <w:szCs w:val="24"/>
          <w:lang w:eastAsia="ar-SA"/>
        </w:rPr>
        <w:t xml:space="preserve"> and</w:t>
      </w:r>
      <w:proofErr w:type="gramEnd"/>
      <w:r w:rsidRPr="009665C3">
        <w:rPr>
          <w:rFonts w:cs="Arial"/>
          <w:szCs w:val="24"/>
          <w:lang w:eastAsia="ar-SA"/>
        </w:rPr>
        <w:t xml:space="preserve"> £4m added which leaves a balance of £4.261m</w:t>
      </w:r>
      <w:r w:rsidR="00D44FF8">
        <w:rPr>
          <w:rFonts w:cs="Arial"/>
          <w:szCs w:val="24"/>
          <w:lang w:eastAsia="ar-SA"/>
        </w:rPr>
        <w:t>.</w:t>
      </w:r>
      <w:r w:rsidR="00BB7394">
        <w:rPr>
          <w:rFonts w:cs="Arial"/>
          <w:szCs w:val="24"/>
          <w:lang w:eastAsia="ar-SA"/>
        </w:rPr>
        <w:t xml:space="preserve"> The 4m is ear marked for organisational transformation costs.</w:t>
      </w:r>
    </w:p>
    <w:p w:rsidR="009665C3" w:rsidRPr="00427567" w:rsidRDefault="009665C3" w:rsidP="00400300">
      <w:pPr>
        <w:pStyle w:val="ListParagraph"/>
        <w:rPr>
          <w:rFonts w:cs="Arial"/>
          <w:szCs w:val="24"/>
          <w:lang w:eastAsia="ar-SA"/>
        </w:rPr>
      </w:pPr>
    </w:p>
    <w:p w:rsidR="009665C3" w:rsidRDefault="009665C3" w:rsidP="00957F91">
      <w:pPr>
        <w:pStyle w:val="ListParagraph"/>
        <w:numPr>
          <w:ilvl w:val="0"/>
          <w:numId w:val="171"/>
        </w:numPr>
        <w:suppressAutoHyphens/>
        <w:spacing w:after="200" w:line="276" w:lineRule="auto"/>
        <w:ind w:left="709" w:hanging="709"/>
        <w:jc w:val="both"/>
        <w:rPr>
          <w:rFonts w:cs="Arial"/>
          <w:b/>
          <w:szCs w:val="24"/>
          <w:lang w:eastAsia="ar-SA"/>
        </w:rPr>
      </w:pPr>
      <w:r>
        <w:rPr>
          <w:rFonts w:cs="Arial"/>
          <w:b/>
          <w:szCs w:val="24"/>
          <w:lang w:eastAsia="ar-SA"/>
        </w:rPr>
        <w:t xml:space="preserve">Public Health Reserve – </w:t>
      </w:r>
      <w:r w:rsidR="006B1B6E">
        <w:rPr>
          <w:rFonts w:cs="Arial"/>
          <w:szCs w:val="24"/>
          <w:lang w:eastAsia="ar-SA"/>
        </w:rPr>
        <w:t>This reserve relates to unspent government grant paid in relation to the delivery of public health responsibilities</w:t>
      </w:r>
      <w:r w:rsidR="00BB7394">
        <w:rPr>
          <w:rFonts w:cs="Arial"/>
          <w:szCs w:val="24"/>
          <w:lang w:eastAsia="ar-SA"/>
        </w:rPr>
        <w:t xml:space="preserve">. </w:t>
      </w:r>
      <w:r w:rsidR="006B1B6E">
        <w:rPr>
          <w:rFonts w:cs="Arial"/>
          <w:szCs w:val="24"/>
          <w:lang w:eastAsia="ar-SA"/>
        </w:rPr>
        <w:t xml:space="preserve">  The conditions which apply to the use of the ring</w:t>
      </w:r>
      <w:r w:rsidR="005270FE">
        <w:rPr>
          <w:rFonts w:cs="Arial"/>
          <w:szCs w:val="24"/>
          <w:lang w:eastAsia="ar-SA"/>
        </w:rPr>
        <w:t>-</w:t>
      </w:r>
      <w:r w:rsidR="006B1B6E">
        <w:rPr>
          <w:rFonts w:cs="Arial"/>
          <w:szCs w:val="24"/>
          <w:lang w:eastAsia="ar-SA"/>
        </w:rPr>
        <w:t>fenced grant also apply to unspent balances, with the Department of Health reserving the right to reduce future year allocations where underspends are considered material.</w:t>
      </w:r>
      <w:r w:rsidR="0013554B">
        <w:rPr>
          <w:rFonts w:cs="Arial"/>
          <w:szCs w:val="24"/>
          <w:lang w:eastAsia="ar-SA"/>
        </w:rPr>
        <w:t xml:space="preserve">  </w:t>
      </w:r>
    </w:p>
    <w:p w:rsidR="009665C3" w:rsidRPr="00400300" w:rsidRDefault="009665C3" w:rsidP="00400300">
      <w:pPr>
        <w:pStyle w:val="ListParagraph"/>
        <w:rPr>
          <w:rFonts w:cs="Arial"/>
          <w:b/>
          <w:szCs w:val="24"/>
          <w:lang w:eastAsia="ar-SA"/>
        </w:rPr>
      </w:pPr>
    </w:p>
    <w:p w:rsidR="009665C3" w:rsidRDefault="009665C3" w:rsidP="00957F91">
      <w:pPr>
        <w:pStyle w:val="ListParagraph"/>
        <w:numPr>
          <w:ilvl w:val="0"/>
          <w:numId w:val="171"/>
        </w:numPr>
        <w:suppressAutoHyphens/>
        <w:spacing w:after="200" w:line="276" w:lineRule="auto"/>
        <w:ind w:left="709" w:hanging="709"/>
        <w:jc w:val="both"/>
        <w:rPr>
          <w:rFonts w:cs="Arial"/>
          <w:szCs w:val="24"/>
          <w:lang w:eastAsia="ar-SA"/>
        </w:rPr>
      </w:pPr>
      <w:r w:rsidRPr="009665C3">
        <w:rPr>
          <w:rFonts w:cs="Arial"/>
          <w:b/>
          <w:szCs w:val="24"/>
          <w:lang w:eastAsia="ar-SA"/>
        </w:rPr>
        <w:t>M</w:t>
      </w:r>
      <w:r w:rsidR="00BB7394">
        <w:rPr>
          <w:rFonts w:cs="Arial"/>
          <w:b/>
          <w:szCs w:val="24"/>
          <w:lang w:eastAsia="ar-SA"/>
        </w:rPr>
        <w:t>TFS</w:t>
      </w:r>
      <w:r w:rsidRPr="009665C3">
        <w:rPr>
          <w:rFonts w:cs="Arial"/>
          <w:b/>
          <w:szCs w:val="24"/>
          <w:lang w:eastAsia="ar-SA"/>
        </w:rPr>
        <w:t xml:space="preserve"> Implementation </w:t>
      </w:r>
      <w:proofErr w:type="gramStart"/>
      <w:r w:rsidRPr="009665C3">
        <w:rPr>
          <w:rFonts w:cs="Arial"/>
          <w:b/>
          <w:szCs w:val="24"/>
          <w:lang w:eastAsia="ar-SA"/>
        </w:rPr>
        <w:t>Reserve  –</w:t>
      </w:r>
      <w:proofErr w:type="gramEnd"/>
      <w:r w:rsidRPr="009665C3">
        <w:rPr>
          <w:rFonts w:cs="Arial"/>
          <w:b/>
          <w:szCs w:val="24"/>
          <w:lang w:eastAsia="ar-SA"/>
        </w:rPr>
        <w:t xml:space="preserve"> </w:t>
      </w:r>
      <w:r w:rsidRPr="009665C3">
        <w:rPr>
          <w:rFonts w:cs="Arial"/>
          <w:szCs w:val="24"/>
          <w:lang w:eastAsia="ar-SA"/>
        </w:rPr>
        <w:t>This reserve is earmarked to facilitate the achievement of MTFS savings. The balance at the start of the year was £2.441m, £0.373m has been drawn down in the year to fund redundancy and pension strain costs, which leaves a balance of £2.067m at 31</w:t>
      </w:r>
      <w:r w:rsidRPr="009665C3">
        <w:rPr>
          <w:rFonts w:cs="Arial"/>
          <w:szCs w:val="24"/>
          <w:vertAlign w:val="superscript"/>
          <w:lang w:eastAsia="ar-SA"/>
        </w:rPr>
        <w:t>st</w:t>
      </w:r>
      <w:r w:rsidRPr="009665C3">
        <w:rPr>
          <w:rFonts w:cs="Arial"/>
          <w:szCs w:val="24"/>
          <w:lang w:eastAsia="ar-SA"/>
        </w:rPr>
        <w:t xml:space="preserve"> of March 2019</w:t>
      </w:r>
      <w:r>
        <w:rPr>
          <w:rFonts w:cs="Arial"/>
          <w:szCs w:val="24"/>
          <w:lang w:eastAsia="ar-SA"/>
        </w:rPr>
        <w:t>.</w:t>
      </w:r>
    </w:p>
    <w:p w:rsidR="009665C3" w:rsidRPr="00427567" w:rsidRDefault="009665C3" w:rsidP="00400300">
      <w:pPr>
        <w:pStyle w:val="ListParagraph"/>
        <w:rPr>
          <w:rFonts w:cs="Arial"/>
          <w:szCs w:val="24"/>
          <w:lang w:eastAsia="ar-SA"/>
        </w:rPr>
      </w:pPr>
    </w:p>
    <w:p w:rsidR="009665C3" w:rsidRDefault="009665C3" w:rsidP="00957F91">
      <w:pPr>
        <w:pStyle w:val="ListParagraph"/>
        <w:numPr>
          <w:ilvl w:val="0"/>
          <w:numId w:val="171"/>
        </w:numPr>
        <w:suppressAutoHyphens/>
        <w:spacing w:after="200" w:line="276" w:lineRule="auto"/>
        <w:ind w:left="709" w:hanging="709"/>
        <w:jc w:val="both"/>
        <w:rPr>
          <w:rFonts w:cs="Arial"/>
          <w:b/>
          <w:szCs w:val="24"/>
          <w:lang w:eastAsia="ar-SA"/>
        </w:rPr>
      </w:pPr>
      <w:r>
        <w:rPr>
          <w:rFonts w:cs="Arial"/>
          <w:b/>
          <w:szCs w:val="24"/>
          <w:lang w:eastAsia="ar-SA"/>
        </w:rPr>
        <w:t xml:space="preserve">Legal Services Contingency – </w:t>
      </w:r>
      <w:r w:rsidR="002E7B20">
        <w:rPr>
          <w:rFonts w:cs="Arial"/>
          <w:szCs w:val="24"/>
          <w:lang w:eastAsia="ar-SA"/>
        </w:rPr>
        <w:t>this reserve is a contingency to cover any possible income shortfalls from the legal shared services arrangement with other local Authorities.</w:t>
      </w:r>
    </w:p>
    <w:p w:rsidR="009665C3" w:rsidRPr="00400300" w:rsidRDefault="009665C3" w:rsidP="00400300">
      <w:pPr>
        <w:pStyle w:val="ListParagraph"/>
        <w:rPr>
          <w:rFonts w:cs="Arial"/>
          <w:b/>
          <w:szCs w:val="24"/>
          <w:lang w:eastAsia="ar-SA"/>
        </w:rPr>
      </w:pPr>
    </w:p>
    <w:p w:rsidR="009665C3" w:rsidRDefault="009665C3" w:rsidP="00957F91">
      <w:pPr>
        <w:pStyle w:val="ListParagraph"/>
        <w:numPr>
          <w:ilvl w:val="0"/>
          <w:numId w:val="171"/>
        </w:numPr>
        <w:suppressAutoHyphens/>
        <w:spacing w:after="200" w:line="276" w:lineRule="auto"/>
        <w:ind w:left="709" w:hanging="709"/>
        <w:jc w:val="both"/>
        <w:rPr>
          <w:rFonts w:cs="Arial"/>
          <w:szCs w:val="24"/>
          <w:lang w:eastAsia="ar-SA"/>
        </w:rPr>
      </w:pPr>
      <w:r w:rsidRPr="009665C3">
        <w:rPr>
          <w:rFonts w:cs="Arial"/>
          <w:b/>
          <w:szCs w:val="24"/>
          <w:lang w:eastAsia="ar-SA"/>
        </w:rPr>
        <w:t>Commercialisation Reserve</w:t>
      </w:r>
      <w:r w:rsidRPr="009665C3">
        <w:rPr>
          <w:rFonts w:cs="Arial"/>
          <w:szCs w:val="24"/>
          <w:lang w:eastAsia="ar-SA"/>
        </w:rPr>
        <w:t xml:space="preserve"> – The balance at the beginning of the year was £0.355m. £0.</w:t>
      </w:r>
      <w:r w:rsidR="00163843">
        <w:rPr>
          <w:rFonts w:cs="Arial"/>
          <w:szCs w:val="24"/>
          <w:lang w:eastAsia="ar-SA"/>
        </w:rPr>
        <w:t>910</w:t>
      </w:r>
      <w:r w:rsidRPr="009665C3">
        <w:rPr>
          <w:rFonts w:cs="Arial"/>
          <w:szCs w:val="24"/>
          <w:lang w:eastAsia="ar-SA"/>
        </w:rPr>
        <w:t xml:space="preserve">m has been added to this reserve to </w:t>
      </w:r>
      <w:r w:rsidR="00BB7394">
        <w:rPr>
          <w:rFonts w:cs="Arial"/>
          <w:szCs w:val="24"/>
          <w:lang w:eastAsia="ar-SA"/>
        </w:rPr>
        <w:t>support future commercialisation.</w:t>
      </w:r>
    </w:p>
    <w:p w:rsidR="009665C3" w:rsidRPr="00163843" w:rsidRDefault="009665C3" w:rsidP="00400300">
      <w:pPr>
        <w:pStyle w:val="ListParagraph"/>
        <w:rPr>
          <w:rFonts w:cs="Arial"/>
          <w:szCs w:val="24"/>
          <w:lang w:eastAsia="ar-SA"/>
        </w:rPr>
      </w:pPr>
    </w:p>
    <w:p w:rsidR="004F08CB" w:rsidRDefault="009665C3" w:rsidP="00957F91">
      <w:pPr>
        <w:pStyle w:val="ListParagraph"/>
        <w:numPr>
          <w:ilvl w:val="0"/>
          <w:numId w:val="171"/>
        </w:numPr>
        <w:suppressAutoHyphens/>
        <w:spacing w:after="200" w:line="276" w:lineRule="auto"/>
        <w:ind w:left="709" w:hanging="709"/>
        <w:jc w:val="both"/>
        <w:rPr>
          <w:rFonts w:cs="Arial"/>
          <w:szCs w:val="24"/>
          <w:lang w:eastAsia="ar-SA"/>
        </w:rPr>
      </w:pPr>
      <w:r w:rsidRPr="00163843">
        <w:rPr>
          <w:rFonts w:cs="Arial"/>
          <w:b/>
          <w:szCs w:val="24"/>
          <w:lang w:eastAsia="ar-SA"/>
        </w:rPr>
        <w:t>HRA Transformation Reserve</w:t>
      </w:r>
      <w:r w:rsidRPr="004F2132">
        <w:rPr>
          <w:rFonts w:cs="Arial"/>
          <w:szCs w:val="24"/>
          <w:lang w:eastAsia="ar-SA"/>
        </w:rPr>
        <w:t xml:space="preserve"> </w:t>
      </w:r>
      <w:r w:rsidR="006B56A9" w:rsidRPr="004F2132">
        <w:rPr>
          <w:rFonts w:cs="Arial"/>
          <w:szCs w:val="24"/>
          <w:lang w:eastAsia="ar-SA"/>
        </w:rPr>
        <w:t>–</w:t>
      </w:r>
      <w:r w:rsidR="00163843" w:rsidRPr="004F2132">
        <w:rPr>
          <w:rFonts w:cs="Arial"/>
          <w:szCs w:val="24"/>
          <w:lang w:eastAsia="ar-SA"/>
        </w:rPr>
        <w:t xml:space="preserve"> </w:t>
      </w:r>
      <w:r w:rsidR="001D7D3A" w:rsidRPr="004F2132">
        <w:rPr>
          <w:rFonts w:cs="Arial"/>
          <w:szCs w:val="24"/>
          <w:lang w:eastAsia="ar-SA"/>
        </w:rPr>
        <w:t xml:space="preserve">The </w:t>
      </w:r>
      <w:r w:rsidR="00BB7394">
        <w:rPr>
          <w:rFonts w:cs="Arial"/>
          <w:szCs w:val="24"/>
          <w:lang w:eastAsia="ar-SA"/>
        </w:rPr>
        <w:t xml:space="preserve">reserve </w:t>
      </w:r>
      <w:r w:rsidR="001D7D3A" w:rsidRPr="004F2132">
        <w:rPr>
          <w:rFonts w:cs="Arial"/>
          <w:szCs w:val="24"/>
          <w:lang w:eastAsia="ar-SA"/>
        </w:rPr>
        <w:t>balance</w:t>
      </w:r>
      <w:r w:rsidR="00BB7394">
        <w:rPr>
          <w:rFonts w:cs="Arial"/>
          <w:szCs w:val="24"/>
          <w:lang w:eastAsia="ar-SA"/>
        </w:rPr>
        <w:t xml:space="preserve"> of </w:t>
      </w:r>
      <w:r w:rsidR="001D7D3A" w:rsidRPr="004F2132">
        <w:rPr>
          <w:rFonts w:cs="Arial"/>
          <w:szCs w:val="24"/>
          <w:lang w:eastAsia="ar-SA"/>
        </w:rPr>
        <w:t xml:space="preserve">£0.493m will be used to fund any redundancy and </w:t>
      </w:r>
      <w:r w:rsidR="007324E3">
        <w:rPr>
          <w:rFonts w:cs="Arial"/>
          <w:szCs w:val="24"/>
          <w:lang w:eastAsia="ar-SA"/>
        </w:rPr>
        <w:t xml:space="preserve">pension </w:t>
      </w:r>
      <w:r w:rsidR="001D7D3A" w:rsidRPr="004F2132">
        <w:rPr>
          <w:rFonts w:cs="Arial"/>
          <w:szCs w:val="24"/>
          <w:lang w:eastAsia="ar-SA"/>
        </w:rPr>
        <w:t>strain</w:t>
      </w:r>
      <w:r w:rsidR="00BB7394">
        <w:rPr>
          <w:rFonts w:cs="Arial"/>
          <w:szCs w:val="24"/>
          <w:lang w:eastAsia="ar-SA"/>
        </w:rPr>
        <w:t xml:space="preserve"> </w:t>
      </w:r>
      <w:r w:rsidR="006B56A9">
        <w:rPr>
          <w:rFonts w:cs="Arial"/>
          <w:szCs w:val="24"/>
          <w:lang w:eastAsia="ar-SA"/>
        </w:rPr>
        <w:t>implications</w:t>
      </w:r>
      <w:r w:rsidR="00BB7394">
        <w:rPr>
          <w:rFonts w:cs="Arial"/>
          <w:szCs w:val="24"/>
          <w:lang w:eastAsia="ar-SA"/>
        </w:rPr>
        <w:t xml:space="preserve"> </w:t>
      </w:r>
      <w:r w:rsidR="001D7D3A" w:rsidRPr="004F2132">
        <w:rPr>
          <w:rFonts w:cs="Arial"/>
          <w:szCs w:val="24"/>
          <w:lang w:eastAsia="ar-SA"/>
        </w:rPr>
        <w:t xml:space="preserve">from the proposed restructure and for the implementation of the new housing ICT system approved by </w:t>
      </w:r>
      <w:r w:rsidR="007324E3">
        <w:rPr>
          <w:rFonts w:cs="Arial"/>
          <w:szCs w:val="24"/>
          <w:lang w:eastAsia="ar-SA"/>
        </w:rPr>
        <w:t>C</w:t>
      </w:r>
      <w:r w:rsidR="001D7D3A" w:rsidRPr="004F2132">
        <w:rPr>
          <w:rFonts w:cs="Arial"/>
          <w:szCs w:val="24"/>
          <w:lang w:eastAsia="ar-SA"/>
        </w:rPr>
        <w:t xml:space="preserve">abinet </w:t>
      </w:r>
      <w:r w:rsidR="006E4A6B" w:rsidRPr="004F2132">
        <w:rPr>
          <w:rFonts w:cs="Arial"/>
          <w:szCs w:val="24"/>
          <w:lang w:eastAsia="ar-SA"/>
        </w:rPr>
        <w:t>on 11th</w:t>
      </w:r>
      <w:r w:rsidR="001D7D3A" w:rsidRPr="004F2132">
        <w:rPr>
          <w:rFonts w:cs="Arial"/>
          <w:szCs w:val="24"/>
          <w:lang w:eastAsia="ar-SA"/>
        </w:rPr>
        <w:t xml:space="preserve"> April 2019.</w:t>
      </w:r>
    </w:p>
    <w:p w:rsidR="0074553D" w:rsidRPr="0074553D" w:rsidRDefault="0074553D" w:rsidP="00957F91">
      <w:pPr>
        <w:pStyle w:val="ListParagraph"/>
        <w:rPr>
          <w:rFonts w:cs="Arial"/>
          <w:szCs w:val="24"/>
          <w:lang w:eastAsia="ar-SA"/>
        </w:rPr>
      </w:pPr>
    </w:p>
    <w:p w:rsidR="0074553D" w:rsidRDefault="0074553D" w:rsidP="00957F91">
      <w:pPr>
        <w:pStyle w:val="ListParagraph"/>
        <w:numPr>
          <w:ilvl w:val="0"/>
          <w:numId w:val="171"/>
        </w:numPr>
        <w:suppressAutoHyphens/>
        <w:spacing w:after="200" w:line="276" w:lineRule="auto"/>
        <w:ind w:left="709" w:hanging="709"/>
        <w:jc w:val="both"/>
        <w:rPr>
          <w:rFonts w:cs="Arial"/>
          <w:szCs w:val="24"/>
          <w:lang w:eastAsia="ar-SA"/>
        </w:rPr>
      </w:pPr>
      <w:r w:rsidRPr="0074553D">
        <w:rPr>
          <w:rFonts w:cs="Arial"/>
          <w:b/>
          <w:szCs w:val="24"/>
          <w:lang w:eastAsia="ar-SA"/>
        </w:rPr>
        <w:t xml:space="preserve">Priority Initiatives Reserve - </w:t>
      </w:r>
      <w:r w:rsidRPr="0074553D">
        <w:rPr>
          <w:rFonts w:cs="Arial"/>
          <w:szCs w:val="24"/>
          <w:lang w:eastAsia="ar-SA"/>
        </w:rPr>
        <w:t>The balance at 1 April 2018 was £1.826m. During the year £0.402m was drawn down from the reserve to fund both revenue and capital expenditure, an</w:t>
      </w:r>
      <w:r w:rsidR="00DA616A">
        <w:rPr>
          <w:rFonts w:cs="Arial"/>
          <w:szCs w:val="24"/>
          <w:lang w:eastAsia="ar-SA"/>
        </w:rPr>
        <w:t>d the balance of £1.424m has been</w:t>
      </w:r>
      <w:r w:rsidRPr="0074553D">
        <w:rPr>
          <w:rFonts w:cs="Arial"/>
          <w:szCs w:val="24"/>
          <w:lang w:eastAsia="ar-SA"/>
        </w:rPr>
        <w:t xml:space="preserve"> transferred to the Budget Planning Reserve to support the future budget</w:t>
      </w:r>
      <w:r>
        <w:rPr>
          <w:rFonts w:cs="Arial"/>
          <w:szCs w:val="24"/>
          <w:lang w:eastAsia="ar-SA"/>
        </w:rPr>
        <w:t>.</w:t>
      </w:r>
    </w:p>
    <w:p w:rsidR="006E4A6B" w:rsidRPr="002672EA" w:rsidRDefault="006E4A6B" w:rsidP="002672EA">
      <w:pPr>
        <w:pStyle w:val="ListParagraph"/>
        <w:suppressAutoHyphens/>
        <w:spacing w:after="200" w:line="276" w:lineRule="auto"/>
        <w:ind w:left="567"/>
        <w:jc w:val="both"/>
        <w:rPr>
          <w:rFonts w:cs="Arial"/>
          <w:b/>
          <w:szCs w:val="24"/>
          <w:lang w:eastAsia="ar-SA"/>
        </w:rPr>
      </w:pPr>
    </w:p>
    <w:p w:rsidR="009665C3" w:rsidRDefault="009665C3" w:rsidP="00957F91">
      <w:pPr>
        <w:pStyle w:val="ListParagraph"/>
        <w:numPr>
          <w:ilvl w:val="0"/>
          <w:numId w:val="171"/>
        </w:numPr>
        <w:suppressAutoHyphens/>
        <w:spacing w:after="200" w:line="276" w:lineRule="auto"/>
        <w:ind w:left="709" w:hanging="709"/>
        <w:jc w:val="both"/>
        <w:rPr>
          <w:rFonts w:cs="Arial"/>
          <w:szCs w:val="24"/>
          <w:lang w:eastAsia="ar-SA"/>
        </w:rPr>
      </w:pPr>
      <w:r>
        <w:rPr>
          <w:rFonts w:cs="Arial"/>
          <w:b/>
          <w:szCs w:val="24"/>
          <w:lang w:eastAsia="ar-SA"/>
        </w:rPr>
        <w:t xml:space="preserve">Insurance Reserve </w:t>
      </w:r>
      <w:r>
        <w:rPr>
          <w:rFonts w:cs="Arial"/>
          <w:szCs w:val="24"/>
          <w:lang w:eastAsia="ar-SA"/>
        </w:rPr>
        <w:t xml:space="preserve">– </w:t>
      </w:r>
      <w:r w:rsidR="00BB7394">
        <w:rPr>
          <w:rFonts w:cs="Arial"/>
          <w:szCs w:val="24"/>
          <w:lang w:eastAsia="ar-SA"/>
        </w:rPr>
        <w:t>T</w:t>
      </w:r>
      <w:r w:rsidR="00BC1561">
        <w:rPr>
          <w:rFonts w:cs="Arial"/>
          <w:szCs w:val="24"/>
          <w:lang w:eastAsia="ar-SA"/>
        </w:rPr>
        <w:t xml:space="preserve">he </w:t>
      </w:r>
      <w:r w:rsidR="00BC1561">
        <w:rPr>
          <w:rFonts w:cs="Arial"/>
        </w:rPr>
        <w:t>insurance reserve was established as an additional one off sum to supplement the annual insurance provision if it was needed.  Based on the last few years, it is felt that the provision in the budget is adequate and this reserve has now been transferred into the</w:t>
      </w:r>
      <w:r w:rsidR="00BB7394">
        <w:rPr>
          <w:rFonts w:cs="Arial"/>
        </w:rPr>
        <w:t xml:space="preserve"> Business Risk Reserve. </w:t>
      </w:r>
      <w:r w:rsidR="00BC1561">
        <w:rPr>
          <w:rFonts w:cs="Arial"/>
        </w:rPr>
        <w:t xml:space="preserve">  </w:t>
      </w:r>
      <w:r w:rsidR="00BC1561">
        <w:rPr>
          <w:rFonts w:cs="Arial"/>
          <w:szCs w:val="24"/>
          <w:lang w:eastAsia="ar-SA"/>
        </w:rPr>
        <w:t xml:space="preserve"> </w:t>
      </w:r>
    </w:p>
    <w:p w:rsidR="004F08CB" w:rsidRPr="00427567" w:rsidRDefault="004F08CB" w:rsidP="00400300">
      <w:pPr>
        <w:pStyle w:val="ListParagraph"/>
        <w:rPr>
          <w:rFonts w:cs="Arial"/>
          <w:szCs w:val="24"/>
          <w:lang w:eastAsia="ar-SA"/>
        </w:rPr>
      </w:pPr>
    </w:p>
    <w:p w:rsidR="009665C3" w:rsidRPr="009665C3" w:rsidRDefault="00BB7394" w:rsidP="00957F91">
      <w:pPr>
        <w:pStyle w:val="ListParagraph"/>
        <w:numPr>
          <w:ilvl w:val="0"/>
          <w:numId w:val="171"/>
        </w:numPr>
        <w:suppressAutoHyphens/>
        <w:spacing w:after="200" w:line="276" w:lineRule="auto"/>
        <w:ind w:left="709" w:hanging="709"/>
        <w:jc w:val="both"/>
        <w:rPr>
          <w:rFonts w:cs="Arial"/>
          <w:szCs w:val="24"/>
          <w:lang w:eastAsia="ar-SA"/>
        </w:rPr>
      </w:pPr>
      <w:r>
        <w:rPr>
          <w:rFonts w:cs="Arial"/>
          <w:b/>
          <w:szCs w:val="24"/>
          <w:lang w:eastAsia="ar-SA"/>
        </w:rPr>
        <w:lastRenderedPageBreak/>
        <w:t>Projects in Progress (c/</w:t>
      </w:r>
      <w:proofErr w:type="spellStart"/>
      <w:r>
        <w:rPr>
          <w:rFonts w:cs="Arial"/>
          <w:b/>
          <w:szCs w:val="24"/>
          <w:lang w:eastAsia="ar-SA"/>
        </w:rPr>
        <w:t>fwds</w:t>
      </w:r>
      <w:proofErr w:type="spellEnd"/>
      <w:r>
        <w:rPr>
          <w:rFonts w:cs="Arial"/>
          <w:b/>
          <w:szCs w:val="24"/>
          <w:lang w:eastAsia="ar-SA"/>
        </w:rPr>
        <w:t>)</w:t>
      </w:r>
      <w:r w:rsidR="00C04746" w:rsidRPr="00C04746">
        <w:rPr>
          <w:rFonts w:cs="Arial"/>
          <w:szCs w:val="24"/>
          <w:lang w:eastAsia="ar-SA"/>
        </w:rPr>
        <w:t xml:space="preserve"> </w:t>
      </w:r>
      <w:r>
        <w:rPr>
          <w:rFonts w:cs="Arial"/>
          <w:szCs w:val="24"/>
          <w:lang w:eastAsia="ar-SA"/>
        </w:rPr>
        <w:t>–</w:t>
      </w:r>
      <w:r w:rsidR="00C04746" w:rsidRPr="00C04746">
        <w:rPr>
          <w:rFonts w:cs="Arial"/>
          <w:szCs w:val="24"/>
          <w:lang w:eastAsia="ar-SA"/>
        </w:rPr>
        <w:t xml:space="preserve"> </w:t>
      </w:r>
      <w:r>
        <w:rPr>
          <w:rFonts w:cs="Arial"/>
          <w:szCs w:val="24"/>
          <w:lang w:eastAsia="ar-SA"/>
        </w:rPr>
        <w:t xml:space="preserve">This reserve holds the revenue carry forward requests from the 2018/19 outturn process. </w:t>
      </w:r>
      <w:r w:rsidR="00C04746" w:rsidRPr="00C04746">
        <w:rPr>
          <w:rFonts w:cs="Arial"/>
          <w:szCs w:val="24"/>
          <w:lang w:eastAsia="ar-SA"/>
        </w:rPr>
        <w:t xml:space="preserve">The carry forward requests are summarised below </w:t>
      </w:r>
      <w:r w:rsidR="00887F66">
        <w:rPr>
          <w:rFonts w:cs="Arial"/>
          <w:szCs w:val="24"/>
          <w:lang w:eastAsia="ar-SA"/>
        </w:rPr>
        <w:t>in</w:t>
      </w:r>
      <w:r w:rsidR="00C04746" w:rsidRPr="00C04746">
        <w:rPr>
          <w:rFonts w:cs="Arial"/>
          <w:szCs w:val="24"/>
          <w:lang w:eastAsia="ar-SA"/>
        </w:rPr>
        <w:t xml:space="preserve"> table </w:t>
      </w:r>
      <w:r w:rsidR="0017736A">
        <w:rPr>
          <w:rFonts w:cs="Arial"/>
          <w:szCs w:val="24"/>
          <w:lang w:eastAsia="ar-SA"/>
        </w:rPr>
        <w:t>5</w:t>
      </w:r>
      <w:r w:rsidR="00C04746" w:rsidRPr="00C04746">
        <w:rPr>
          <w:rFonts w:cs="Arial"/>
          <w:szCs w:val="24"/>
          <w:lang w:eastAsia="ar-SA"/>
        </w:rPr>
        <w:t xml:space="preserve"> and </w:t>
      </w:r>
      <w:r w:rsidR="00887F66">
        <w:rPr>
          <w:rFonts w:cs="Arial"/>
          <w:szCs w:val="24"/>
          <w:lang w:eastAsia="ar-SA"/>
        </w:rPr>
        <w:t xml:space="preserve">detailed </w:t>
      </w:r>
      <w:r w:rsidR="00C04746" w:rsidRPr="00C04746">
        <w:rPr>
          <w:rFonts w:cs="Arial"/>
          <w:szCs w:val="24"/>
          <w:lang w:eastAsia="ar-SA"/>
        </w:rPr>
        <w:t xml:space="preserve"> in Appendix 1</w:t>
      </w:r>
    </w:p>
    <w:p w:rsidR="0017736A" w:rsidRDefault="0017736A" w:rsidP="00C74989">
      <w:pPr>
        <w:ind w:left="709"/>
        <w:rPr>
          <w:rFonts w:cs="Arial"/>
          <w:b/>
        </w:rPr>
      </w:pPr>
    </w:p>
    <w:p w:rsidR="0017736A" w:rsidRDefault="0017736A" w:rsidP="00957F91">
      <w:pPr>
        <w:ind w:firstLine="709"/>
        <w:rPr>
          <w:rFonts w:cs="Arial"/>
          <w:b/>
        </w:rPr>
      </w:pPr>
    </w:p>
    <w:p w:rsidR="0017736A" w:rsidRDefault="0017736A" w:rsidP="00957F91">
      <w:pPr>
        <w:ind w:firstLine="709"/>
        <w:rPr>
          <w:rFonts w:cs="Arial"/>
          <w:b/>
        </w:rPr>
      </w:pPr>
    </w:p>
    <w:p w:rsidR="0017736A" w:rsidRDefault="0017736A" w:rsidP="00957F91">
      <w:pPr>
        <w:ind w:firstLine="709"/>
        <w:rPr>
          <w:rFonts w:cs="Arial"/>
          <w:b/>
        </w:rPr>
      </w:pPr>
    </w:p>
    <w:p w:rsidR="00A35B6E" w:rsidRDefault="00A35B6E" w:rsidP="00957F91">
      <w:pPr>
        <w:ind w:firstLine="709"/>
        <w:rPr>
          <w:rFonts w:cs="Arial"/>
          <w:b/>
          <w:u w:val="single"/>
        </w:rPr>
      </w:pPr>
      <w:r w:rsidRPr="00AA3B74">
        <w:rPr>
          <w:rFonts w:cs="Arial"/>
          <w:b/>
          <w:u w:val="single"/>
        </w:rPr>
        <w:t xml:space="preserve">Table </w:t>
      </w:r>
      <w:r w:rsidR="0017736A">
        <w:rPr>
          <w:rFonts w:cs="Arial"/>
          <w:b/>
          <w:u w:val="single"/>
        </w:rPr>
        <w:t>5</w:t>
      </w:r>
      <w:r w:rsidR="00512990">
        <w:rPr>
          <w:rFonts w:cs="Arial"/>
          <w:b/>
          <w:u w:val="single"/>
        </w:rPr>
        <w:t>:</w:t>
      </w:r>
      <w:r w:rsidRPr="00AA3B74">
        <w:rPr>
          <w:rFonts w:cs="Arial"/>
          <w:b/>
          <w:u w:val="single"/>
        </w:rPr>
        <w:t xml:space="preserve"> Summary of Revenue Carry Forwards</w:t>
      </w:r>
    </w:p>
    <w:p w:rsidR="00FA46B3" w:rsidRDefault="002672EA" w:rsidP="00957F91">
      <w:pPr>
        <w:ind w:left="709" w:right="304"/>
        <w:jc w:val="both"/>
        <w:rPr>
          <w:rFonts w:cs="Arial"/>
          <w:b/>
          <w:u w:val="single"/>
        </w:rPr>
      </w:pPr>
      <w:r w:rsidRPr="00957F91">
        <w:rPr>
          <w:rFonts w:cs="Arial"/>
          <w:b/>
          <w:noProof/>
          <w:lang w:eastAsia="en-GB"/>
        </w:rPr>
        <w:drawing>
          <wp:inline distT="0" distB="0" distL="0" distR="0" wp14:anchorId="2CD6E96E" wp14:editId="4BC5E9B7">
            <wp:extent cx="3438525" cy="1390015"/>
            <wp:effectExtent l="0" t="0" r="952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8525" cy="1390015"/>
                    </a:xfrm>
                    <a:prstGeom prst="rect">
                      <a:avLst/>
                    </a:prstGeom>
                    <a:noFill/>
                  </pic:spPr>
                </pic:pic>
              </a:graphicData>
            </a:graphic>
          </wp:inline>
        </w:drawing>
      </w:r>
    </w:p>
    <w:p w:rsidR="0074679A" w:rsidRDefault="0074679A">
      <w:pPr>
        <w:pStyle w:val="ListParagraph"/>
        <w:suppressAutoHyphens/>
        <w:spacing w:after="200" w:line="276" w:lineRule="auto"/>
        <w:ind w:left="360"/>
        <w:jc w:val="both"/>
        <w:rPr>
          <w:rFonts w:cs="Arial"/>
          <w:szCs w:val="24"/>
          <w:lang w:eastAsia="ar-SA"/>
        </w:rPr>
      </w:pPr>
    </w:p>
    <w:p w:rsidR="00A35B6E" w:rsidRDefault="00A35B6E" w:rsidP="00957F91">
      <w:pPr>
        <w:ind w:left="709"/>
        <w:jc w:val="both"/>
        <w:rPr>
          <w:rFonts w:cs="Arial"/>
          <w:b/>
        </w:rPr>
      </w:pPr>
      <w:r w:rsidRPr="00FA23DE">
        <w:rPr>
          <w:rFonts w:cs="Arial"/>
          <w:b/>
        </w:rPr>
        <w:t>G</w:t>
      </w:r>
      <w:r>
        <w:rPr>
          <w:rFonts w:cs="Arial"/>
          <w:b/>
        </w:rPr>
        <w:t xml:space="preserve">ENERAL </w:t>
      </w:r>
      <w:r w:rsidR="00AC2050">
        <w:rPr>
          <w:rFonts w:cs="Arial"/>
          <w:b/>
        </w:rPr>
        <w:t>FUND BALANCE</w:t>
      </w:r>
      <w:r w:rsidR="005A689F">
        <w:rPr>
          <w:rFonts w:cs="Arial"/>
          <w:b/>
        </w:rPr>
        <w:t>S</w:t>
      </w:r>
    </w:p>
    <w:p w:rsidR="00A35B6E" w:rsidRPr="004F2132" w:rsidRDefault="00A35B6E" w:rsidP="00957F91">
      <w:pPr>
        <w:pStyle w:val="ListParagraph"/>
        <w:numPr>
          <w:ilvl w:val="0"/>
          <w:numId w:val="171"/>
        </w:numPr>
        <w:ind w:left="709" w:hanging="709"/>
        <w:jc w:val="both"/>
        <w:rPr>
          <w:rFonts w:cs="Arial"/>
          <w:b/>
        </w:rPr>
      </w:pPr>
      <w:r w:rsidRPr="000F0C4F">
        <w:t>General</w:t>
      </w:r>
      <w:r>
        <w:t xml:space="preserve"> Fund b</w:t>
      </w:r>
      <w:r w:rsidR="007A0FD6">
        <w:t>alance</w:t>
      </w:r>
      <w:r w:rsidR="005A689F">
        <w:t>s</w:t>
      </w:r>
      <w:r w:rsidR="007A0FD6">
        <w:t xml:space="preserve"> remain</w:t>
      </w:r>
      <w:r w:rsidR="006513BD">
        <w:t xml:space="preserve"> </w:t>
      </w:r>
      <w:r w:rsidR="00CE608E">
        <w:t>at £</w:t>
      </w:r>
      <w:r w:rsidR="007A0FD6">
        <w:t>10.0</w:t>
      </w:r>
      <w:r w:rsidR="00BA5DE0">
        <w:t>08</w:t>
      </w:r>
      <w:r>
        <w:t>m. The 3 years MTFS 2019</w:t>
      </w:r>
      <w:r w:rsidR="00F14A12">
        <w:t>/20</w:t>
      </w:r>
      <w:r>
        <w:t xml:space="preserve"> to 202</w:t>
      </w:r>
      <w:r w:rsidR="00F14A12">
        <w:t>1</w:t>
      </w:r>
      <w:r>
        <w:t>/2</w:t>
      </w:r>
      <w:r w:rsidR="00F14A12">
        <w:t>2</w:t>
      </w:r>
      <w:r>
        <w:t xml:space="preserve"> assumes no u</w:t>
      </w:r>
      <w:r w:rsidR="00887F66">
        <w:t xml:space="preserve">se of general fund balances. </w:t>
      </w:r>
    </w:p>
    <w:p w:rsidR="00163843" w:rsidRDefault="00163843" w:rsidP="004F2132">
      <w:pPr>
        <w:jc w:val="both"/>
        <w:rPr>
          <w:rFonts w:cs="Arial"/>
          <w:b/>
        </w:rPr>
      </w:pPr>
    </w:p>
    <w:p w:rsidR="00A1344B" w:rsidRDefault="00A1344B" w:rsidP="004F2132">
      <w:pPr>
        <w:jc w:val="both"/>
        <w:rPr>
          <w:rFonts w:cs="Arial"/>
          <w:b/>
        </w:rPr>
      </w:pPr>
    </w:p>
    <w:p w:rsidR="00A35B6E" w:rsidRDefault="00A35B6E" w:rsidP="00957F91">
      <w:pPr>
        <w:ind w:left="709"/>
        <w:jc w:val="both"/>
        <w:rPr>
          <w:rFonts w:cs="Arial"/>
          <w:b/>
        </w:rPr>
      </w:pPr>
      <w:r>
        <w:rPr>
          <w:rFonts w:cs="Arial"/>
          <w:b/>
        </w:rPr>
        <w:t>MTFS Implementation Tracker</w:t>
      </w:r>
    </w:p>
    <w:p w:rsidR="00036C6D" w:rsidRPr="00B762EB" w:rsidRDefault="00A35B6E" w:rsidP="00957F91">
      <w:pPr>
        <w:pStyle w:val="ListParagraph"/>
        <w:numPr>
          <w:ilvl w:val="0"/>
          <w:numId w:val="171"/>
        </w:numPr>
        <w:ind w:left="709" w:hanging="709"/>
        <w:jc w:val="both"/>
        <w:rPr>
          <w:rFonts w:cs="Arial"/>
          <w:b/>
        </w:rPr>
      </w:pPr>
      <w:r w:rsidRPr="006F766E">
        <w:t>The 20</w:t>
      </w:r>
      <w:r>
        <w:t>18</w:t>
      </w:r>
      <w:r w:rsidR="00F14A12">
        <w:t>/19</w:t>
      </w:r>
      <w:r w:rsidRPr="006F766E">
        <w:t xml:space="preserve"> budget includes approved MTFS savings of £</w:t>
      </w:r>
      <w:r w:rsidR="00F14A12">
        <w:t>8.801</w:t>
      </w:r>
      <w:r w:rsidRPr="006F766E">
        <w:t>m.</w:t>
      </w:r>
      <w:r w:rsidRPr="003C0457">
        <w:t xml:space="preserve"> </w:t>
      </w:r>
      <w:r w:rsidR="004A4912">
        <w:t>The a</w:t>
      </w:r>
      <w:r>
        <w:t>ctual</w:t>
      </w:r>
      <w:r w:rsidR="004A4912">
        <w:t xml:space="preserve"> achievement of savings </w:t>
      </w:r>
      <w:r w:rsidRPr="006F766E">
        <w:t xml:space="preserve">is summarised in table </w:t>
      </w:r>
      <w:r w:rsidR="0017736A">
        <w:t>6</w:t>
      </w:r>
      <w:r w:rsidRPr="006F766E">
        <w:t xml:space="preserve"> below and shown in  detail in Appendix </w:t>
      </w:r>
      <w:r w:rsidR="00724573">
        <w:t>4</w:t>
      </w:r>
      <w:r w:rsidR="00B762EB">
        <w:t>:</w:t>
      </w:r>
    </w:p>
    <w:p w:rsidR="00355BDD" w:rsidRPr="00B23BC2" w:rsidRDefault="00355BDD">
      <w:pPr>
        <w:pStyle w:val="ListParagraph"/>
        <w:ind w:left="567"/>
        <w:jc w:val="both"/>
        <w:rPr>
          <w:rFonts w:cs="Arial"/>
          <w:b/>
        </w:rPr>
      </w:pPr>
    </w:p>
    <w:p w:rsidR="00F14A12" w:rsidRPr="00AA3B74" w:rsidRDefault="00B23BC2" w:rsidP="00957F91">
      <w:pPr>
        <w:ind w:left="426"/>
        <w:jc w:val="both"/>
        <w:rPr>
          <w:rFonts w:cs="Arial"/>
          <w:b/>
          <w:u w:val="single"/>
        </w:rPr>
      </w:pPr>
      <w:r>
        <w:rPr>
          <w:rFonts w:cs="Arial"/>
          <w:b/>
        </w:rPr>
        <w:t xml:space="preserve">     </w:t>
      </w:r>
      <w:r w:rsidR="00A35B6E" w:rsidRPr="00AA3B74">
        <w:rPr>
          <w:rFonts w:cs="Arial"/>
          <w:b/>
          <w:u w:val="single"/>
        </w:rPr>
        <w:t xml:space="preserve">Table </w:t>
      </w:r>
      <w:r w:rsidR="0017736A">
        <w:rPr>
          <w:rFonts w:cs="Arial"/>
          <w:b/>
          <w:u w:val="single"/>
        </w:rPr>
        <w:t>6</w:t>
      </w:r>
      <w:r w:rsidR="00512990">
        <w:rPr>
          <w:rFonts w:cs="Arial"/>
          <w:b/>
          <w:u w:val="single"/>
        </w:rPr>
        <w:t>:</w:t>
      </w:r>
      <w:r w:rsidR="00A35B6E" w:rsidRPr="00AA3B74">
        <w:rPr>
          <w:rFonts w:cs="Arial"/>
          <w:b/>
          <w:u w:val="single"/>
        </w:rPr>
        <w:t xml:space="preserve"> Summary of MTFS Tracker</w:t>
      </w:r>
    </w:p>
    <w:p w:rsidR="0074553D" w:rsidRDefault="002672EA" w:rsidP="00957F91">
      <w:pPr>
        <w:pStyle w:val="ListParagraph"/>
        <w:ind w:left="709"/>
        <w:jc w:val="both"/>
        <w:rPr>
          <w:rFonts w:cs="Arial"/>
          <w:b/>
        </w:rPr>
      </w:pPr>
      <w:r>
        <w:rPr>
          <w:rFonts w:cs="Arial"/>
          <w:b/>
          <w:noProof/>
          <w:lang w:eastAsia="en-GB"/>
        </w:rPr>
        <w:drawing>
          <wp:inline distT="0" distB="0" distL="0" distR="0" wp14:anchorId="508BE96A" wp14:editId="228675BB">
            <wp:extent cx="5407660" cy="1518285"/>
            <wp:effectExtent l="0" t="0" r="254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7660" cy="1518285"/>
                    </a:xfrm>
                    <a:prstGeom prst="rect">
                      <a:avLst/>
                    </a:prstGeom>
                    <a:noFill/>
                  </pic:spPr>
                </pic:pic>
              </a:graphicData>
            </a:graphic>
          </wp:inline>
        </w:drawing>
      </w:r>
    </w:p>
    <w:p w:rsidR="0074553D" w:rsidRDefault="0074553D" w:rsidP="00957F91">
      <w:pPr>
        <w:pStyle w:val="ListParagraph"/>
        <w:ind w:left="709"/>
        <w:jc w:val="both"/>
        <w:rPr>
          <w:rFonts w:cs="Arial"/>
          <w:b/>
        </w:rPr>
      </w:pPr>
    </w:p>
    <w:p w:rsidR="00DB3CEF" w:rsidRDefault="00A35B6E" w:rsidP="00957F91">
      <w:pPr>
        <w:pStyle w:val="ListParagraph"/>
        <w:numPr>
          <w:ilvl w:val="0"/>
          <w:numId w:val="171"/>
        </w:numPr>
        <w:suppressAutoHyphens/>
        <w:spacing w:after="200" w:line="276" w:lineRule="auto"/>
        <w:ind w:left="709" w:hanging="709"/>
        <w:jc w:val="both"/>
        <w:rPr>
          <w:rFonts w:cs="Arial"/>
          <w:szCs w:val="24"/>
          <w:lang w:eastAsia="ar-SA"/>
        </w:rPr>
      </w:pPr>
      <w:r w:rsidRPr="009E12B2">
        <w:rPr>
          <w:rFonts w:cs="Arial"/>
          <w:szCs w:val="24"/>
          <w:lang w:eastAsia="ar-SA"/>
        </w:rPr>
        <w:t>Of the £</w:t>
      </w:r>
      <w:r w:rsidR="00FB1E2C">
        <w:rPr>
          <w:rFonts w:cs="Arial"/>
          <w:szCs w:val="24"/>
          <w:lang w:eastAsia="ar-SA"/>
        </w:rPr>
        <w:t>8.801</w:t>
      </w:r>
      <w:r w:rsidRPr="009E12B2">
        <w:rPr>
          <w:rFonts w:cs="Arial"/>
          <w:szCs w:val="24"/>
          <w:lang w:eastAsia="ar-SA"/>
        </w:rPr>
        <w:t>m of savin</w:t>
      </w:r>
      <w:r w:rsidR="000808DA">
        <w:rPr>
          <w:rFonts w:cs="Arial"/>
          <w:szCs w:val="24"/>
          <w:lang w:eastAsia="ar-SA"/>
        </w:rPr>
        <w:t>gs in 2018</w:t>
      </w:r>
      <w:r w:rsidR="00FB1E2C">
        <w:rPr>
          <w:rFonts w:cs="Arial"/>
          <w:szCs w:val="24"/>
          <w:lang w:eastAsia="ar-SA"/>
        </w:rPr>
        <w:t>/19</w:t>
      </w:r>
      <w:r w:rsidR="000808DA">
        <w:rPr>
          <w:rFonts w:cs="Arial"/>
          <w:szCs w:val="24"/>
          <w:lang w:eastAsia="ar-SA"/>
        </w:rPr>
        <w:t>, a total of £</w:t>
      </w:r>
      <w:r w:rsidR="00FB1E2C">
        <w:rPr>
          <w:rFonts w:cs="Arial"/>
          <w:szCs w:val="24"/>
          <w:lang w:eastAsia="ar-SA"/>
        </w:rPr>
        <w:t>1.</w:t>
      </w:r>
      <w:r w:rsidR="002513D0">
        <w:rPr>
          <w:rFonts w:cs="Arial"/>
          <w:szCs w:val="24"/>
          <w:lang w:eastAsia="ar-SA"/>
        </w:rPr>
        <w:t>023</w:t>
      </w:r>
      <w:r w:rsidRPr="009E12B2">
        <w:rPr>
          <w:rFonts w:cs="Arial"/>
          <w:szCs w:val="24"/>
          <w:lang w:eastAsia="ar-SA"/>
        </w:rPr>
        <w:t>m are been categorised as red savings which means they were not achieved in 2018</w:t>
      </w:r>
      <w:r w:rsidR="002513D0">
        <w:rPr>
          <w:rFonts w:cs="Arial"/>
          <w:szCs w:val="24"/>
          <w:lang w:eastAsia="ar-SA"/>
        </w:rPr>
        <w:t>/19</w:t>
      </w:r>
      <w:r w:rsidRPr="009E12B2">
        <w:rPr>
          <w:rFonts w:cs="Arial"/>
          <w:szCs w:val="24"/>
          <w:lang w:eastAsia="ar-SA"/>
        </w:rPr>
        <w:t>.  Some of these savings are red as the implementation was delayed and, although not achieved in 201</w:t>
      </w:r>
      <w:r w:rsidR="004A4912" w:rsidRPr="009E12B2">
        <w:rPr>
          <w:rFonts w:cs="Arial"/>
          <w:szCs w:val="24"/>
          <w:lang w:eastAsia="ar-SA"/>
        </w:rPr>
        <w:t>8</w:t>
      </w:r>
      <w:r w:rsidR="00FB1E2C">
        <w:rPr>
          <w:rFonts w:cs="Arial"/>
          <w:szCs w:val="24"/>
          <w:lang w:eastAsia="ar-SA"/>
        </w:rPr>
        <w:t>/19</w:t>
      </w:r>
      <w:r w:rsidR="004A4912" w:rsidRPr="009E12B2">
        <w:rPr>
          <w:rFonts w:cs="Arial"/>
          <w:szCs w:val="24"/>
          <w:lang w:eastAsia="ar-SA"/>
        </w:rPr>
        <w:t>, will be progressed in 2019</w:t>
      </w:r>
      <w:r w:rsidR="00FB1E2C">
        <w:rPr>
          <w:rFonts w:cs="Arial"/>
          <w:szCs w:val="24"/>
          <w:lang w:eastAsia="ar-SA"/>
        </w:rPr>
        <w:t>/20</w:t>
      </w:r>
      <w:r w:rsidRPr="009E12B2">
        <w:rPr>
          <w:rFonts w:cs="Arial"/>
          <w:szCs w:val="24"/>
          <w:lang w:eastAsia="ar-SA"/>
        </w:rPr>
        <w:t xml:space="preserve">. </w:t>
      </w:r>
    </w:p>
    <w:p w:rsidR="009E12B2" w:rsidRPr="009E12B2" w:rsidRDefault="009E12B2">
      <w:pPr>
        <w:pStyle w:val="ListParagraph"/>
        <w:suppressAutoHyphens/>
        <w:spacing w:after="200" w:line="276" w:lineRule="auto"/>
        <w:ind w:left="567"/>
        <w:jc w:val="both"/>
        <w:rPr>
          <w:rFonts w:cs="Arial"/>
          <w:szCs w:val="24"/>
          <w:lang w:eastAsia="ar-SA"/>
        </w:rPr>
      </w:pPr>
    </w:p>
    <w:p w:rsidR="00A35B6E" w:rsidRPr="00AA3B74" w:rsidRDefault="00A35B6E" w:rsidP="00957F91">
      <w:pPr>
        <w:pStyle w:val="ListParagraph"/>
        <w:suppressAutoHyphens/>
        <w:spacing w:after="200" w:line="276" w:lineRule="auto"/>
        <w:ind w:left="709"/>
        <w:jc w:val="both"/>
        <w:rPr>
          <w:rFonts w:cs="Arial"/>
          <w:b/>
          <w:szCs w:val="24"/>
          <w:lang w:eastAsia="ar-SA"/>
        </w:rPr>
      </w:pPr>
      <w:r w:rsidRPr="00AA3B74">
        <w:rPr>
          <w:rFonts w:cs="Arial"/>
          <w:b/>
          <w:szCs w:val="24"/>
          <w:lang w:eastAsia="ar-SA"/>
        </w:rPr>
        <w:t>Analysis of the Red Savings</w:t>
      </w:r>
    </w:p>
    <w:p w:rsidR="009E12B2" w:rsidRDefault="00A35B6E" w:rsidP="00957F91">
      <w:pPr>
        <w:pStyle w:val="ListParagraph"/>
        <w:numPr>
          <w:ilvl w:val="0"/>
          <w:numId w:val="171"/>
        </w:numPr>
        <w:suppressAutoHyphens/>
        <w:spacing w:after="200" w:line="276" w:lineRule="auto"/>
        <w:ind w:left="709" w:hanging="709"/>
        <w:jc w:val="both"/>
        <w:rPr>
          <w:rFonts w:cs="Arial"/>
          <w:szCs w:val="24"/>
          <w:lang w:eastAsia="ar-SA"/>
        </w:rPr>
      </w:pPr>
      <w:r w:rsidRPr="00A35B6E">
        <w:rPr>
          <w:rFonts w:cs="Arial"/>
          <w:szCs w:val="24"/>
          <w:lang w:eastAsia="ar-SA"/>
        </w:rPr>
        <w:t xml:space="preserve"> </w:t>
      </w:r>
      <w:r w:rsidR="00887F66">
        <w:rPr>
          <w:rFonts w:cs="Arial"/>
          <w:szCs w:val="24"/>
          <w:lang w:eastAsia="ar-SA"/>
        </w:rPr>
        <w:t>Within the</w:t>
      </w:r>
      <w:r w:rsidR="00887F66" w:rsidRPr="00406507">
        <w:rPr>
          <w:rFonts w:cs="Arial"/>
          <w:szCs w:val="24"/>
          <w:lang w:eastAsia="ar-SA"/>
        </w:rPr>
        <w:t xml:space="preserve"> </w:t>
      </w:r>
      <w:r w:rsidRPr="00957F91">
        <w:rPr>
          <w:rFonts w:cs="Arial"/>
          <w:b/>
          <w:szCs w:val="24"/>
          <w:lang w:eastAsia="ar-SA"/>
        </w:rPr>
        <w:t xml:space="preserve">Resources </w:t>
      </w:r>
      <w:r w:rsidRPr="00A35B6E">
        <w:rPr>
          <w:rFonts w:cs="Arial"/>
          <w:szCs w:val="24"/>
          <w:lang w:eastAsia="ar-SA"/>
        </w:rPr>
        <w:t>directorate  £0.</w:t>
      </w:r>
      <w:r w:rsidR="00FB1E2C">
        <w:rPr>
          <w:rFonts w:cs="Arial"/>
          <w:szCs w:val="24"/>
          <w:lang w:eastAsia="ar-SA"/>
        </w:rPr>
        <w:t>369</w:t>
      </w:r>
      <w:r w:rsidRPr="00A35B6E">
        <w:rPr>
          <w:rFonts w:cs="Arial"/>
          <w:szCs w:val="24"/>
          <w:lang w:eastAsia="ar-SA"/>
        </w:rPr>
        <w:t>m savings classified as red</w:t>
      </w:r>
      <w:r w:rsidR="00887F66">
        <w:rPr>
          <w:rFonts w:cs="Arial"/>
          <w:szCs w:val="24"/>
          <w:lang w:eastAsia="ar-SA"/>
        </w:rPr>
        <w:t>:</w:t>
      </w:r>
    </w:p>
    <w:p w:rsidR="00A35B6E" w:rsidRPr="00A35B6E" w:rsidRDefault="00A35B6E">
      <w:pPr>
        <w:pStyle w:val="ListParagraph"/>
        <w:suppressAutoHyphens/>
        <w:spacing w:after="200" w:line="276" w:lineRule="auto"/>
        <w:ind w:left="360"/>
        <w:jc w:val="both"/>
        <w:rPr>
          <w:rFonts w:cs="Arial"/>
          <w:szCs w:val="24"/>
          <w:lang w:eastAsia="ar-SA"/>
        </w:rPr>
      </w:pPr>
    </w:p>
    <w:p w:rsidR="00CD6958" w:rsidRPr="00C426AD" w:rsidRDefault="00CD6958" w:rsidP="00957F91">
      <w:pPr>
        <w:pStyle w:val="ListParagraph"/>
        <w:numPr>
          <w:ilvl w:val="0"/>
          <w:numId w:val="110"/>
        </w:numPr>
        <w:suppressAutoHyphens/>
        <w:spacing w:after="200" w:line="276" w:lineRule="auto"/>
        <w:ind w:left="1134" w:hanging="414"/>
        <w:jc w:val="both"/>
        <w:rPr>
          <w:rFonts w:cs="Arial"/>
          <w:szCs w:val="24"/>
          <w:lang w:eastAsia="ar-SA"/>
        </w:rPr>
      </w:pPr>
      <w:r w:rsidRPr="00400300">
        <w:rPr>
          <w:rFonts w:cs="Arial"/>
          <w:bCs/>
          <w:szCs w:val="24"/>
          <w:lang w:eastAsia="ar-SA"/>
        </w:rPr>
        <w:t>The Stra</w:t>
      </w:r>
      <w:r w:rsidR="007614B9">
        <w:rPr>
          <w:rFonts w:cs="Arial"/>
          <w:bCs/>
          <w:szCs w:val="24"/>
          <w:lang w:eastAsia="ar-SA"/>
        </w:rPr>
        <w:t>tegic Commissioning savings RES_</w:t>
      </w:r>
      <w:r w:rsidRPr="00400300">
        <w:rPr>
          <w:rFonts w:cs="Arial"/>
          <w:bCs/>
          <w:szCs w:val="24"/>
          <w:lang w:eastAsia="ar-SA"/>
        </w:rPr>
        <w:t>SC01 and RES_SC_02 of £0.013m and £0.107m respectively which relate to Income from Communications w</w:t>
      </w:r>
      <w:r w:rsidR="00A15EF2">
        <w:rPr>
          <w:rFonts w:cs="Arial"/>
          <w:bCs/>
          <w:szCs w:val="24"/>
          <w:lang w:eastAsia="ar-SA"/>
        </w:rPr>
        <w:t>ere</w:t>
      </w:r>
      <w:r w:rsidRPr="00400300">
        <w:rPr>
          <w:rFonts w:cs="Arial"/>
          <w:bCs/>
          <w:szCs w:val="24"/>
          <w:lang w:eastAsia="ar-SA"/>
        </w:rPr>
        <w:t xml:space="preserve"> not achieved. Proposals will be brought forward to create a sustainable position for Communications</w:t>
      </w:r>
      <w:r w:rsidR="00A15EF2">
        <w:rPr>
          <w:rFonts w:cs="Arial"/>
          <w:bCs/>
          <w:szCs w:val="24"/>
          <w:lang w:eastAsia="ar-SA"/>
        </w:rPr>
        <w:t xml:space="preserve"> in the future.</w:t>
      </w:r>
    </w:p>
    <w:p w:rsidR="00CD6958" w:rsidRPr="00400300" w:rsidRDefault="00CD6958" w:rsidP="00400300">
      <w:pPr>
        <w:pStyle w:val="ListParagraph"/>
        <w:suppressAutoHyphens/>
        <w:spacing w:after="200" w:line="276" w:lineRule="auto"/>
        <w:ind w:left="1080"/>
        <w:jc w:val="both"/>
        <w:rPr>
          <w:rFonts w:cs="Arial"/>
          <w:szCs w:val="24"/>
          <w:lang w:eastAsia="ar-SA"/>
        </w:rPr>
      </w:pPr>
    </w:p>
    <w:p w:rsidR="00CD6958" w:rsidRPr="00C426AD" w:rsidRDefault="00CD6958" w:rsidP="00957F91">
      <w:pPr>
        <w:pStyle w:val="ListParagraph"/>
        <w:numPr>
          <w:ilvl w:val="0"/>
          <w:numId w:val="110"/>
        </w:numPr>
        <w:suppressAutoHyphens/>
        <w:spacing w:after="200" w:line="276" w:lineRule="auto"/>
        <w:ind w:left="1134" w:hanging="414"/>
        <w:jc w:val="both"/>
        <w:rPr>
          <w:rFonts w:cs="Arial"/>
          <w:szCs w:val="24"/>
          <w:lang w:eastAsia="ar-SA"/>
        </w:rPr>
      </w:pPr>
      <w:r w:rsidRPr="00400300">
        <w:rPr>
          <w:rFonts w:cs="Arial"/>
          <w:bCs/>
          <w:szCs w:val="24"/>
          <w:lang w:eastAsia="ar-SA"/>
        </w:rPr>
        <w:t xml:space="preserve">Saving reference RES15 for £0.151m for restructuring of the commercial, contracts and procurement division’s function. The saving </w:t>
      </w:r>
      <w:r w:rsidR="00E6650E">
        <w:rPr>
          <w:rFonts w:cs="Arial"/>
          <w:bCs/>
          <w:szCs w:val="24"/>
          <w:lang w:eastAsia="ar-SA"/>
        </w:rPr>
        <w:t>was</w:t>
      </w:r>
      <w:r w:rsidR="00A15EF2">
        <w:rPr>
          <w:rFonts w:cs="Arial"/>
          <w:bCs/>
          <w:szCs w:val="24"/>
          <w:lang w:eastAsia="ar-SA"/>
        </w:rPr>
        <w:t xml:space="preserve"> not</w:t>
      </w:r>
      <w:r w:rsidRPr="00400300">
        <w:rPr>
          <w:rFonts w:cs="Arial"/>
          <w:bCs/>
          <w:szCs w:val="24"/>
          <w:lang w:eastAsia="ar-SA"/>
        </w:rPr>
        <w:t xml:space="preserve"> delivered </w:t>
      </w:r>
      <w:r w:rsidRPr="00400300">
        <w:rPr>
          <w:rFonts w:cs="Arial"/>
          <w:bCs/>
          <w:szCs w:val="24"/>
          <w:lang w:eastAsia="ar-SA"/>
        </w:rPr>
        <w:lastRenderedPageBreak/>
        <w:t>due to the cessation of shared service arrangement with Brent. However, the</w:t>
      </w:r>
      <w:r w:rsidR="00E6650E">
        <w:rPr>
          <w:rFonts w:cs="Arial"/>
          <w:bCs/>
          <w:szCs w:val="24"/>
          <w:lang w:eastAsia="ar-SA"/>
        </w:rPr>
        <w:t xml:space="preserve"> budget has been realigned across the </w:t>
      </w:r>
      <w:r w:rsidRPr="00400300">
        <w:rPr>
          <w:rFonts w:cs="Arial"/>
          <w:bCs/>
          <w:szCs w:val="24"/>
          <w:lang w:eastAsia="ar-SA"/>
        </w:rPr>
        <w:t>directorate</w:t>
      </w:r>
      <w:r w:rsidR="00E6650E">
        <w:rPr>
          <w:rFonts w:cs="Arial"/>
          <w:bCs/>
          <w:szCs w:val="24"/>
          <w:lang w:eastAsia="ar-SA"/>
        </w:rPr>
        <w:t xml:space="preserve"> to mitigate this.</w:t>
      </w:r>
    </w:p>
    <w:p w:rsidR="00CD6958" w:rsidRPr="0093634E" w:rsidRDefault="00CD6958" w:rsidP="00400300">
      <w:pPr>
        <w:pStyle w:val="ListParagraph"/>
        <w:jc w:val="both"/>
        <w:rPr>
          <w:rFonts w:cs="Arial"/>
          <w:szCs w:val="24"/>
          <w:lang w:eastAsia="ar-SA"/>
        </w:rPr>
      </w:pPr>
    </w:p>
    <w:p w:rsidR="00CD6958" w:rsidRDefault="00CD6958" w:rsidP="00957F91">
      <w:pPr>
        <w:pStyle w:val="ListParagraph"/>
        <w:numPr>
          <w:ilvl w:val="0"/>
          <w:numId w:val="110"/>
        </w:numPr>
        <w:suppressAutoHyphens/>
        <w:spacing w:after="200" w:line="276" w:lineRule="auto"/>
        <w:ind w:left="1134" w:hanging="414"/>
        <w:jc w:val="both"/>
        <w:rPr>
          <w:rFonts w:cs="Arial"/>
          <w:szCs w:val="24"/>
          <w:lang w:eastAsia="ar-SA"/>
        </w:rPr>
      </w:pPr>
      <w:r w:rsidRPr="00400300">
        <w:rPr>
          <w:rFonts w:cs="Arial"/>
          <w:szCs w:val="24"/>
          <w:lang w:eastAsia="ar-SA"/>
        </w:rPr>
        <w:t xml:space="preserve">Special Responsibility </w:t>
      </w:r>
      <w:r w:rsidR="00AD1D3A">
        <w:rPr>
          <w:rFonts w:cs="Arial"/>
          <w:szCs w:val="24"/>
          <w:lang w:eastAsia="ar-SA"/>
        </w:rPr>
        <w:t>s</w:t>
      </w:r>
      <w:r w:rsidRPr="00400300">
        <w:rPr>
          <w:rFonts w:cs="Arial"/>
          <w:szCs w:val="24"/>
          <w:lang w:eastAsia="ar-SA"/>
        </w:rPr>
        <w:t>aving RES 18.19 06 of £0.058m</w:t>
      </w:r>
      <w:r w:rsidR="00E6650E">
        <w:rPr>
          <w:rFonts w:cs="Arial"/>
          <w:szCs w:val="24"/>
          <w:lang w:eastAsia="ar-SA"/>
        </w:rPr>
        <w:t xml:space="preserve"> was not</w:t>
      </w:r>
      <w:r w:rsidRPr="00400300">
        <w:rPr>
          <w:rFonts w:cs="Arial"/>
          <w:szCs w:val="24"/>
          <w:lang w:eastAsia="ar-SA"/>
        </w:rPr>
        <w:t xml:space="preserve"> achieved.  The new administration has confirmed </w:t>
      </w:r>
      <w:r w:rsidR="00AD1D3A">
        <w:rPr>
          <w:rFonts w:cs="Arial"/>
          <w:szCs w:val="24"/>
          <w:lang w:eastAsia="ar-SA"/>
        </w:rPr>
        <w:t xml:space="preserve">that </w:t>
      </w:r>
      <w:r w:rsidRPr="00400300">
        <w:rPr>
          <w:rFonts w:cs="Arial"/>
          <w:szCs w:val="24"/>
          <w:lang w:eastAsia="ar-SA"/>
        </w:rPr>
        <w:t>the number of cabinet members will not change.</w:t>
      </w:r>
    </w:p>
    <w:p w:rsidR="00AD1D3A" w:rsidRPr="008C60D2" w:rsidRDefault="00AD1D3A" w:rsidP="00957F91">
      <w:pPr>
        <w:pStyle w:val="ListParagraph"/>
        <w:rPr>
          <w:rFonts w:cs="Arial"/>
          <w:szCs w:val="24"/>
          <w:lang w:eastAsia="ar-SA"/>
        </w:rPr>
      </w:pPr>
    </w:p>
    <w:p w:rsidR="00887F66" w:rsidRDefault="00887F66" w:rsidP="00957F91">
      <w:pPr>
        <w:pStyle w:val="ListParagraph"/>
        <w:numPr>
          <w:ilvl w:val="0"/>
          <w:numId w:val="110"/>
        </w:numPr>
        <w:suppressAutoHyphens/>
        <w:spacing w:after="200" w:line="276" w:lineRule="auto"/>
        <w:ind w:left="1134" w:hanging="414"/>
        <w:jc w:val="both"/>
        <w:rPr>
          <w:rFonts w:cs="Arial"/>
          <w:szCs w:val="24"/>
          <w:lang w:eastAsia="ar-SA"/>
        </w:rPr>
      </w:pPr>
      <w:r w:rsidRPr="009C7779">
        <w:rPr>
          <w:rFonts w:cs="Arial"/>
          <w:szCs w:val="24"/>
          <w:lang w:eastAsia="ar-SA"/>
        </w:rPr>
        <w:t xml:space="preserve">Member meetings, member self-service, change to standards regime saving RES 18.19 05 of £0.040m was not achieved due to associated risks. </w:t>
      </w:r>
    </w:p>
    <w:p w:rsidR="00472B37" w:rsidRDefault="00472B37" w:rsidP="00400300">
      <w:pPr>
        <w:pStyle w:val="ListParagraph"/>
        <w:suppressAutoHyphens/>
        <w:spacing w:after="200" w:line="276" w:lineRule="auto"/>
        <w:ind w:left="1080"/>
        <w:jc w:val="both"/>
        <w:rPr>
          <w:rFonts w:cs="Arial"/>
          <w:szCs w:val="24"/>
          <w:lang w:eastAsia="ar-SA"/>
        </w:rPr>
      </w:pPr>
    </w:p>
    <w:p w:rsidR="00406507" w:rsidRDefault="00A35B6E" w:rsidP="00957F91">
      <w:pPr>
        <w:pStyle w:val="ListParagraph"/>
        <w:numPr>
          <w:ilvl w:val="0"/>
          <w:numId w:val="171"/>
        </w:numPr>
        <w:suppressAutoHyphens/>
        <w:spacing w:after="200" w:line="276" w:lineRule="auto"/>
        <w:ind w:left="709" w:hanging="709"/>
        <w:jc w:val="both"/>
        <w:rPr>
          <w:rFonts w:cs="Arial"/>
          <w:szCs w:val="24"/>
          <w:lang w:eastAsia="ar-SA"/>
        </w:rPr>
      </w:pPr>
      <w:r w:rsidRPr="00CD6958">
        <w:rPr>
          <w:rFonts w:cs="Arial"/>
          <w:szCs w:val="24"/>
          <w:lang w:eastAsia="ar-SA"/>
        </w:rPr>
        <w:t xml:space="preserve">In </w:t>
      </w:r>
      <w:r w:rsidRPr="005C3109">
        <w:rPr>
          <w:rFonts w:cs="Arial"/>
          <w:b/>
          <w:szCs w:val="24"/>
          <w:lang w:eastAsia="ar-SA"/>
        </w:rPr>
        <w:t>Community</w:t>
      </w:r>
      <w:r w:rsidRPr="00957F91">
        <w:rPr>
          <w:rFonts w:cs="Arial"/>
          <w:szCs w:val="24"/>
          <w:lang w:eastAsia="ar-SA"/>
        </w:rPr>
        <w:t xml:space="preserve"> </w:t>
      </w:r>
      <w:r w:rsidR="00887F66">
        <w:rPr>
          <w:rFonts w:cs="Arial"/>
          <w:szCs w:val="24"/>
          <w:lang w:eastAsia="ar-SA"/>
        </w:rPr>
        <w:t xml:space="preserve">directorate </w:t>
      </w:r>
      <w:r w:rsidRPr="00CD6958">
        <w:rPr>
          <w:rFonts w:cs="Arial"/>
          <w:szCs w:val="24"/>
          <w:lang w:eastAsia="ar-SA"/>
        </w:rPr>
        <w:t>£0.</w:t>
      </w:r>
      <w:r w:rsidR="003E766C">
        <w:rPr>
          <w:rFonts w:cs="Arial"/>
          <w:szCs w:val="24"/>
          <w:lang w:eastAsia="ar-SA"/>
        </w:rPr>
        <w:t>3</w:t>
      </w:r>
      <w:r w:rsidR="00FB1E2C" w:rsidRPr="00CD6958">
        <w:rPr>
          <w:rFonts w:cs="Arial"/>
          <w:szCs w:val="24"/>
          <w:lang w:eastAsia="ar-SA"/>
        </w:rPr>
        <w:t>14</w:t>
      </w:r>
      <w:r w:rsidRPr="00CD6958">
        <w:rPr>
          <w:rFonts w:cs="Arial"/>
          <w:szCs w:val="24"/>
          <w:lang w:eastAsia="ar-SA"/>
        </w:rPr>
        <w:t xml:space="preserve">m </w:t>
      </w:r>
      <w:r w:rsidR="00887F66">
        <w:rPr>
          <w:rFonts w:cs="Arial"/>
          <w:szCs w:val="24"/>
          <w:lang w:eastAsia="ar-SA"/>
        </w:rPr>
        <w:t>of savings were classified as red:</w:t>
      </w:r>
    </w:p>
    <w:p w:rsidR="00A35B6E" w:rsidRPr="00CD6958" w:rsidRDefault="00A35B6E" w:rsidP="00957F91">
      <w:pPr>
        <w:pStyle w:val="ListParagraph"/>
        <w:suppressAutoHyphens/>
        <w:spacing w:after="200" w:line="276" w:lineRule="auto"/>
        <w:ind w:left="709"/>
        <w:jc w:val="both"/>
        <w:rPr>
          <w:rFonts w:cs="Arial"/>
          <w:szCs w:val="24"/>
          <w:lang w:eastAsia="ar-SA"/>
        </w:rPr>
      </w:pPr>
    </w:p>
    <w:p w:rsidR="00CD6958" w:rsidRDefault="00CD6958" w:rsidP="00957F91">
      <w:pPr>
        <w:pStyle w:val="ListParagraph"/>
        <w:numPr>
          <w:ilvl w:val="1"/>
          <w:numId w:val="65"/>
        </w:numPr>
        <w:ind w:left="1134" w:hanging="425"/>
        <w:jc w:val="both"/>
        <w:rPr>
          <w:rFonts w:cs="Arial"/>
        </w:rPr>
      </w:pPr>
      <w:r w:rsidRPr="00400300">
        <w:rPr>
          <w:rFonts w:cs="Arial"/>
        </w:rPr>
        <w:t xml:space="preserve">There is one red saving in Community of £0.239m which relates to Income from expansion of Central Depot with savings reference COM.  Additional income from the depot is not possible until after the new depot which provides extra office and parking spaces has been built. </w:t>
      </w:r>
    </w:p>
    <w:p w:rsidR="00C76BC1" w:rsidRDefault="00C76BC1" w:rsidP="00400300">
      <w:pPr>
        <w:pStyle w:val="ListParagraph"/>
        <w:ind w:left="1440"/>
        <w:jc w:val="both"/>
        <w:rPr>
          <w:rFonts w:cs="Arial"/>
        </w:rPr>
      </w:pPr>
    </w:p>
    <w:p w:rsidR="00CD6958" w:rsidRPr="00400300" w:rsidRDefault="00CD6958" w:rsidP="00957F91">
      <w:pPr>
        <w:pStyle w:val="ListParagraph"/>
        <w:numPr>
          <w:ilvl w:val="1"/>
          <w:numId w:val="65"/>
        </w:numPr>
        <w:ind w:left="1134" w:hanging="425"/>
        <w:jc w:val="both"/>
        <w:rPr>
          <w:rFonts w:cs="Arial"/>
          <w:lang w:val="en-US"/>
        </w:rPr>
      </w:pPr>
      <w:r w:rsidRPr="00400300">
        <w:rPr>
          <w:rFonts w:cs="Arial"/>
          <w:bCs/>
        </w:rPr>
        <w:t>£</w:t>
      </w:r>
      <w:r w:rsidR="00C76BC1">
        <w:rPr>
          <w:rFonts w:cs="Arial"/>
          <w:bCs/>
        </w:rPr>
        <w:t>0.0</w:t>
      </w:r>
      <w:r w:rsidRPr="00400300">
        <w:rPr>
          <w:rFonts w:cs="Arial"/>
          <w:bCs/>
        </w:rPr>
        <w:t>75</w:t>
      </w:r>
      <w:r w:rsidR="00C76BC1">
        <w:rPr>
          <w:rFonts w:cs="Arial"/>
          <w:bCs/>
        </w:rPr>
        <w:t>m</w:t>
      </w:r>
      <w:r w:rsidRPr="00400300">
        <w:rPr>
          <w:rFonts w:cs="Arial"/>
          <w:bCs/>
        </w:rPr>
        <w:t xml:space="preserve"> savings for Route Optimisation of food waste collection savings (COM_S12)</w:t>
      </w:r>
      <w:r w:rsidR="000A0887" w:rsidRPr="00400300">
        <w:rPr>
          <w:rFonts w:cs="Arial"/>
          <w:bCs/>
        </w:rPr>
        <w:t>,</w:t>
      </w:r>
      <w:r w:rsidR="000A0887" w:rsidRPr="00400300">
        <w:rPr>
          <w:rFonts w:cs="Arial"/>
          <w:bCs/>
          <w:lang w:val="en-US"/>
        </w:rPr>
        <w:t xml:space="preserve"> now unachieved.</w:t>
      </w:r>
      <w:r w:rsidR="000A0887" w:rsidRPr="00400300">
        <w:rPr>
          <w:rFonts w:cs="Arial"/>
          <w:b/>
          <w:bCs/>
        </w:rPr>
        <w:t xml:space="preserve"> </w:t>
      </w:r>
    </w:p>
    <w:p w:rsidR="00A35B6E" w:rsidRPr="00400300" w:rsidRDefault="00A35B6E">
      <w:pPr>
        <w:pStyle w:val="ListParagraph"/>
        <w:ind w:left="1440"/>
        <w:jc w:val="both"/>
        <w:rPr>
          <w:rFonts w:cs="Arial"/>
          <w:highlight w:val="yellow"/>
        </w:rPr>
      </w:pPr>
    </w:p>
    <w:p w:rsidR="00A35B6E" w:rsidRDefault="00A35B6E" w:rsidP="00957F91">
      <w:pPr>
        <w:pStyle w:val="ListParagraph"/>
        <w:numPr>
          <w:ilvl w:val="0"/>
          <w:numId w:val="171"/>
        </w:numPr>
        <w:suppressAutoHyphens/>
        <w:spacing w:after="200" w:line="276" w:lineRule="auto"/>
        <w:ind w:left="709" w:hanging="709"/>
        <w:jc w:val="both"/>
        <w:rPr>
          <w:rFonts w:cs="Arial"/>
          <w:szCs w:val="24"/>
          <w:lang w:eastAsia="ar-SA"/>
        </w:rPr>
      </w:pPr>
      <w:r w:rsidRPr="00406507">
        <w:rPr>
          <w:rFonts w:cs="Arial"/>
          <w:b/>
          <w:szCs w:val="24"/>
          <w:lang w:eastAsia="ar-SA"/>
        </w:rPr>
        <w:t>People Services</w:t>
      </w:r>
      <w:r w:rsidR="009E3481" w:rsidRPr="009E6915">
        <w:rPr>
          <w:rFonts w:cs="Arial"/>
          <w:szCs w:val="24"/>
          <w:lang w:eastAsia="ar-SA"/>
        </w:rPr>
        <w:t xml:space="preserve"> savings of £</w:t>
      </w:r>
      <w:r w:rsidR="00F23923" w:rsidRPr="009E6915">
        <w:rPr>
          <w:rFonts w:cs="Arial"/>
          <w:szCs w:val="24"/>
          <w:lang w:eastAsia="ar-SA"/>
        </w:rPr>
        <w:t>0.340</w:t>
      </w:r>
      <w:r w:rsidRPr="009E6915">
        <w:rPr>
          <w:rFonts w:cs="Arial"/>
          <w:szCs w:val="24"/>
          <w:lang w:eastAsia="ar-SA"/>
        </w:rPr>
        <w:t>m are rated as red</w:t>
      </w:r>
      <w:r w:rsidR="009D7205">
        <w:rPr>
          <w:rFonts w:cs="Arial"/>
          <w:szCs w:val="24"/>
          <w:lang w:eastAsia="ar-SA"/>
        </w:rPr>
        <w:t xml:space="preserve"> as follows:</w:t>
      </w:r>
    </w:p>
    <w:p w:rsidR="002672EA" w:rsidRDefault="002672EA" w:rsidP="00957F91">
      <w:pPr>
        <w:pStyle w:val="ListParagraph"/>
        <w:suppressAutoHyphens/>
        <w:spacing w:after="200" w:line="276" w:lineRule="auto"/>
        <w:ind w:left="709"/>
        <w:jc w:val="both"/>
        <w:rPr>
          <w:rFonts w:cs="Arial"/>
          <w:szCs w:val="24"/>
          <w:lang w:eastAsia="ar-SA"/>
        </w:rPr>
      </w:pPr>
    </w:p>
    <w:p w:rsidR="002672EA" w:rsidRDefault="002672EA" w:rsidP="00957F91">
      <w:pPr>
        <w:pStyle w:val="ListParagraph"/>
        <w:numPr>
          <w:ilvl w:val="0"/>
          <w:numId w:val="171"/>
        </w:numPr>
        <w:suppressAutoHyphens/>
        <w:spacing w:after="200" w:line="276" w:lineRule="auto"/>
        <w:ind w:left="709" w:hanging="709"/>
        <w:jc w:val="both"/>
        <w:rPr>
          <w:rFonts w:cs="Arial"/>
          <w:szCs w:val="24"/>
          <w:lang w:eastAsia="ar-SA"/>
        </w:rPr>
      </w:pPr>
      <w:r w:rsidRPr="00957F91">
        <w:rPr>
          <w:rFonts w:cs="Arial"/>
          <w:szCs w:val="24"/>
          <w:lang w:eastAsia="ar-SA"/>
        </w:rPr>
        <w:t>Children’s Services</w:t>
      </w:r>
      <w:r w:rsidRPr="002672EA">
        <w:rPr>
          <w:rFonts w:cs="Arial"/>
          <w:szCs w:val="24"/>
          <w:lang w:eastAsia="ar-SA"/>
        </w:rPr>
        <w:t xml:space="preserve"> – The net saving of £0.100m which was intended to be a reduction in SEN assessment and review service is now classified as red. Given the rise in demand in the number of young people with SEN, the remainder of this saving is no longer considered achievable. This will be mitigated in other areas of the directorate</w:t>
      </w:r>
      <w:r>
        <w:rPr>
          <w:rFonts w:cs="Arial"/>
          <w:szCs w:val="24"/>
          <w:lang w:eastAsia="ar-SA"/>
        </w:rPr>
        <w:t>.</w:t>
      </w:r>
    </w:p>
    <w:p w:rsidR="002672EA" w:rsidRDefault="002672EA" w:rsidP="00957F91">
      <w:pPr>
        <w:pStyle w:val="ListParagraph"/>
        <w:suppressAutoHyphens/>
        <w:spacing w:after="200" w:line="276" w:lineRule="auto"/>
        <w:ind w:left="709"/>
        <w:jc w:val="both"/>
        <w:rPr>
          <w:rFonts w:cs="Arial"/>
          <w:szCs w:val="24"/>
          <w:lang w:eastAsia="ar-SA"/>
        </w:rPr>
      </w:pPr>
    </w:p>
    <w:p w:rsidR="002672EA" w:rsidRDefault="002672EA" w:rsidP="00957F91">
      <w:pPr>
        <w:pStyle w:val="ListParagraph"/>
        <w:numPr>
          <w:ilvl w:val="0"/>
          <w:numId w:val="171"/>
        </w:numPr>
        <w:suppressAutoHyphens/>
        <w:spacing w:after="200" w:line="276" w:lineRule="auto"/>
        <w:ind w:left="709" w:hanging="709"/>
        <w:jc w:val="both"/>
        <w:rPr>
          <w:rFonts w:cs="Arial"/>
          <w:szCs w:val="24"/>
          <w:lang w:eastAsia="ar-SA"/>
        </w:rPr>
      </w:pPr>
      <w:r w:rsidRPr="002672EA">
        <w:rPr>
          <w:rFonts w:cs="Arial"/>
          <w:szCs w:val="24"/>
          <w:lang w:eastAsia="ar-SA"/>
        </w:rPr>
        <w:t>In</w:t>
      </w:r>
      <w:r w:rsidRPr="002672EA">
        <w:rPr>
          <w:rFonts w:cs="Arial"/>
          <w:b/>
          <w:szCs w:val="24"/>
          <w:lang w:eastAsia="ar-SA"/>
        </w:rPr>
        <w:t xml:space="preserve"> </w:t>
      </w:r>
      <w:r w:rsidRPr="00957F91">
        <w:rPr>
          <w:rFonts w:cs="Arial"/>
          <w:szCs w:val="24"/>
          <w:lang w:eastAsia="ar-SA"/>
        </w:rPr>
        <w:t>Adult services</w:t>
      </w:r>
      <w:r w:rsidRPr="002672EA">
        <w:rPr>
          <w:rFonts w:cs="Arial"/>
          <w:b/>
          <w:szCs w:val="24"/>
          <w:lang w:eastAsia="ar-SA"/>
        </w:rPr>
        <w:t xml:space="preserve">,  </w:t>
      </w:r>
      <w:r w:rsidRPr="002672EA">
        <w:rPr>
          <w:rFonts w:cs="Arial"/>
          <w:szCs w:val="24"/>
          <w:lang w:eastAsia="ar-SA"/>
        </w:rPr>
        <w:t>2 red savings totalling £0.240m are detailed</w:t>
      </w:r>
      <w:r>
        <w:rPr>
          <w:rFonts w:cs="Arial"/>
          <w:szCs w:val="24"/>
          <w:lang w:eastAsia="ar-SA"/>
        </w:rPr>
        <w:t>:</w:t>
      </w:r>
    </w:p>
    <w:p w:rsidR="00A35B6E" w:rsidRPr="009E6915" w:rsidRDefault="00A35B6E" w:rsidP="00957F91">
      <w:pPr>
        <w:pStyle w:val="ListParagraph"/>
        <w:suppressAutoHyphens/>
        <w:spacing w:after="200" w:line="276" w:lineRule="auto"/>
        <w:ind w:left="567"/>
        <w:jc w:val="both"/>
        <w:rPr>
          <w:rFonts w:cs="Arial"/>
          <w:szCs w:val="24"/>
          <w:lang w:eastAsia="ar-SA"/>
        </w:rPr>
      </w:pPr>
    </w:p>
    <w:p w:rsidR="009E6915" w:rsidRPr="00400300" w:rsidRDefault="009E6915" w:rsidP="00957F91">
      <w:pPr>
        <w:pStyle w:val="ListParagraph"/>
        <w:numPr>
          <w:ilvl w:val="0"/>
          <w:numId w:val="111"/>
        </w:numPr>
        <w:suppressAutoHyphens/>
        <w:spacing w:after="200" w:line="276" w:lineRule="auto"/>
        <w:ind w:left="1134" w:hanging="425"/>
        <w:jc w:val="both"/>
        <w:rPr>
          <w:rFonts w:cs="Arial"/>
          <w:szCs w:val="24"/>
          <w:lang w:eastAsia="ar-SA"/>
        </w:rPr>
      </w:pPr>
      <w:proofErr w:type="spellStart"/>
      <w:r w:rsidRPr="00400300">
        <w:rPr>
          <w:rFonts w:cs="Arial"/>
          <w:szCs w:val="24"/>
          <w:lang w:eastAsia="ar-SA"/>
        </w:rPr>
        <w:t>Wiseworks</w:t>
      </w:r>
      <w:proofErr w:type="spellEnd"/>
      <w:r w:rsidRPr="00400300">
        <w:rPr>
          <w:rFonts w:cs="Arial"/>
          <w:szCs w:val="24"/>
          <w:lang w:eastAsia="ar-SA"/>
        </w:rPr>
        <w:t xml:space="preserve"> commercialisation opportunity savings (PA_3) of £0.056m is categorised as red. The shortfall in delivery of 2018/19 income targets together with further incre</w:t>
      </w:r>
      <w:r w:rsidR="005A689F">
        <w:rPr>
          <w:rFonts w:cs="Arial"/>
          <w:szCs w:val="24"/>
          <w:lang w:eastAsia="ar-SA"/>
        </w:rPr>
        <w:t xml:space="preserve">ased income </w:t>
      </w:r>
      <w:r w:rsidR="005A689F" w:rsidRPr="00E632EE">
        <w:rPr>
          <w:rFonts w:cs="Arial"/>
          <w:szCs w:val="24"/>
          <w:lang w:eastAsia="ar-SA"/>
        </w:rPr>
        <w:t xml:space="preserve">requirement </w:t>
      </w:r>
      <w:r w:rsidR="005A689F" w:rsidRPr="00400300">
        <w:rPr>
          <w:rFonts w:cs="Arial"/>
          <w:szCs w:val="24"/>
          <w:lang w:eastAsia="ar-SA"/>
        </w:rPr>
        <w:t xml:space="preserve">has not been </w:t>
      </w:r>
      <w:r w:rsidRPr="00400300">
        <w:rPr>
          <w:rFonts w:cs="Arial"/>
          <w:szCs w:val="24"/>
          <w:lang w:eastAsia="ar-SA"/>
        </w:rPr>
        <w:t>achieved.</w:t>
      </w:r>
    </w:p>
    <w:p w:rsidR="009E6915" w:rsidRPr="00400300" w:rsidRDefault="009E6915" w:rsidP="00400300">
      <w:pPr>
        <w:pStyle w:val="ListParagraph"/>
        <w:suppressAutoHyphens/>
        <w:spacing w:after="200" w:line="276" w:lineRule="auto"/>
        <w:ind w:left="1080"/>
        <w:jc w:val="both"/>
        <w:rPr>
          <w:rFonts w:cs="Arial"/>
          <w:szCs w:val="24"/>
          <w:lang w:eastAsia="ar-SA"/>
        </w:rPr>
      </w:pPr>
    </w:p>
    <w:p w:rsidR="009E6915" w:rsidRDefault="009E6915" w:rsidP="00957F91">
      <w:pPr>
        <w:pStyle w:val="ListParagraph"/>
        <w:numPr>
          <w:ilvl w:val="0"/>
          <w:numId w:val="111"/>
        </w:numPr>
        <w:suppressAutoHyphens/>
        <w:spacing w:after="200" w:line="276" w:lineRule="auto"/>
        <w:ind w:left="1134" w:hanging="425"/>
        <w:jc w:val="both"/>
        <w:rPr>
          <w:rFonts w:cs="Arial"/>
          <w:szCs w:val="24"/>
          <w:lang w:eastAsia="ar-SA"/>
        </w:rPr>
      </w:pPr>
      <w:r w:rsidRPr="00400300">
        <w:rPr>
          <w:rFonts w:cs="Arial"/>
          <w:szCs w:val="24"/>
          <w:lang w:eastAsia="ar-SA"/>
        </w:rPr>
        <w:t xml:space="preserve">The </w:t>
      </w:r>
      <w:proofErr w:type="spellStart"/>
      <w:r w:rsidRPr="00400300">
        <w:rPr>
          <w:rFonts w:cs="Arial"/>
          <w:szCs w:val="24"/>
          <w:lang w:eastAsia="ar-SA"/>
        </w:rPr>
        <w:t>Milmans</w:t>
      </w:r>
      <w:proofErr w:type="spellEnd"/>
      <w:r w:rsidRPr="00400300">
        <w:rPr>
          <w:rFonts w:cs="Arial"/>
          <w:szCs w:val="24"/>
          <w:lang w:eastAsia="ar-SA"/>
        </w:rPr>
        <w:t xml:space="preserve"> Community tender saving </w:t>
      </w:r>
      <w:r w:rsidR="005A689F" w:rsidRPr="009E6915">
        <w:rPr>
          <w:rFonts w:cs="Arial"/>
          <w:szCs w:val="24"/>
          <w:lang w:eastAsia="ar-SA"/>
        </w:rPr>
        <w:t>ref</w:t>
      </w:r>
      <w:r w:rsidR="00A1344B">
        <w:rPr>
          <w:rFonts w:cs="Arial"/>
          <w:szCs w:val="24"/>
          <w:lang w:eastAsia="ar-SA"/>
        </w:rPr>
        <w:t>erence</w:t>
      </w:r>
      <w:r w:rsidR="005A689F" w:rsidRPr="009E6915">
        <w:rPr>
          <w:rFonts w:cs="Arial"/>
          <w:szCs w:val="24"/>
          <w:lang w:eastAsia="ar-SA"/>
        </w:rPr>
        <w:t xml:space="preserve"> PA_4 </w:t>
      </w:r>
      <w:r w:rsidR="00A1344B">
        <w:rPr>
          <w:rFonts w:cs="Arial"/>
          <w:szCs w:val="24"/>
          <w:lang w:eastAsia="ar-SA"/>
        </w:rPr>
        <w:t xml:space="preserve">of £0.184m </w:t>
      </w:r>
      <w:r w:rsidR="005A689F" w:rsidRPr="009E6915">
        <w:rPr>
          <w:rFonts w:cs="Arial"/>
          <w:szCs w:val="24"/>
          <w:lang w:eastAsia="ar-SA"/>
        </w:rPr>
        <w:t>ha</w:t>
      </w:r>
      <w:r w:rsidR="006513BD">
        <w:rPr>
          <w:rFonts w:cs="Arial"/>
          <w:szCs w:val="24"/>
          <w:lang w:eastAsia="ar-SA"/>
        </w:rPr>
        <w:t>s</w:t>
      </w:r>
      <w:r w:rsidRPr="00400300">
        <w:rPr>
          <w:rFonts w:cs="Arial"/>
          <w:szCs w:val="24"/>
          <w:lang w:eastAsia="ar-SA"/>
        </w:rPr>
        <w:t xml:space="preserve"> not be</w:t>
      </w:r>
      <w:r w:rsidR="005A689F">
        <w:rPr>
          <w:rFonts w:cs="Arial"/>
          <w:szCs w:val="24"/>
          <w:lang w:eastAsia="ar-SA"/>
        </w:rPr>
        <w:t>en</w:t>
      </w:r>
      <w:r w:rsidRPr="00400300">
        <w:rPr>
          <w:rFonts w:cs="Arial"/>
          <w:szCs w:val="24"/>
          <w:lang w:eastAsia="ar-SA"/>
        </w:rPr>
        <w:t xml:space="preserve"> achieved in 2</w:t>
      </w:r>
      <w:r w:rsidR="005A689F">
        <w:rPr>
          <w:rFonts w:cs="Arial"/>
          <w:szCs w:val="24"/>
          <w:lang w:eastAsia="ar-SA"/>
        </w:rPr>
        <w:t>018/19 as the community model was</w:t>
      </w:r>
      <w:r w:rsidRPr="00400300">
        <w:rPr>
          <w:rFonts w:cs="Arial"/>
          <w:szCs w:val="24"/>
          <w:lang w:eastAsia="ar-SA"/>
        </w:rPr>
        <w:t xml:space="preserve"> unsuccessful. These savings </w:t>
      </w:r>
      <w:r w:rsidR="006513BD">
        <w:rPr>
          <w:rFonts w:cs="Arial"/>
          <w:szCs w:val="24"/>
          <w:lang w:eastAsia="ar-SA"/>
        </w:rPr>
        <w:t xml:space="preserve">have </w:t>
      </w:r>
      <w:r w:rsidR="00A1344B">
        <w:rPr>
          <w:rFonts w:cs="Arial"/>
          <w:szCs w:val="24"/>
          <w:lang w:eastAsia="ar-SA"/>
        </w:rPr>
        <w:t xml:space="preserve">been </w:t>
      </w:r>
      <w:r w:rsidR="00A1344B" w:rsidRPr="00400300">
        <w:rPr>
          <w:rFonts w:cs="Arial"/>
          <w:szCs w:val="24"/>
          <w:lang w:eastAsia="ar-SA"/>
        </w:rPr>
        <w:t>expected</w:t>
      </w:r>
      <w:r w:rsidRPr="00400300">
        <w:rPr>
          <w:rFonts w:cs="Arial"/>
          <w:szCs w:val="24"/>
          <w:lang w:eastAsia="ar-SA"/>
        </w:rPr>
        <w:t xml:space="preserve"> to be mitigated in full through the achievement of rental income (£</w:t>
      </w:r>
      <w:r w:rsidR="007E025C">
        <w:rPr>
          <w:rFonts w:cs="Arial"/>
          <w:szCs w:val="24"/>
          <w:lang w:eastAsia="ar-SA"/>
        </w:rPr>
        <w:t>0.</w:t>
      </w:r>
      <w:r w:rsidRPr="00400300">
        <w:rPr>
          <w:rFonts w:cs="Arial"/>
          <w:szCs w:val="24"/>
          <w:lang w:eastAsia="ar-SA"/>
        </w:rPr>
        <w:t>128</w:t>
      </w:r>
      <w:r w:rsidR="007E025C">
        <w:rPr>
          <w:rFonts w:cs="Arial"/>
          <w:szCs w:val="24"/>
          <w:lang w:eastAsia="ar-SA"/>
        </w:rPr>
        <w:t>m</w:t>
      </w:r>
      <w:r w:rsidRPr="00400300">
        <w:rPr>
          <w:rFonts w:cs="Arial"/>
          <w:szCs w:val="24"/>
          <w:lang w:eastAsia="ar-SA"/>
        </w:rPr>
        <w:t xml:space="preserve"> in a full year) and maximisation of capacity at NRC's enabling externally funded placements to be supported through in house provision.</w:t>
      </w:r>
    </w:p>
    <w:p w:rsidR="009C7779" w:rsidRPr="00400300" w:rsidRDefault="009C7779">
      <w:pPr>
        <w:pStyle w:val="ListParagraph"/>
        <w:jc w:val="both"/>
        <w:rPr>
          <w:rFonts w:cs="Arial"/>
          <w:szCs w:val="24"/>
          <w:highlight w:val="yellow"/>
          <w:lang w:eastAsia="ar-SA"/>
        </w:rPr>
      </w:pPr>
    </w:p>
    <w:p w:rsidR="00C36877" w:rsidRPr="00F41CF9" w:rsidRDefault="00125502" w:rsidP="00957F91">
      <w:pPr>
        <w:ind w:right="304" w:firstLine="709"/>
        <w:jc w:val="both"/>
        <w:rPr>
          <w:rFonts w:cs="Arial"/>
          <w:b/>
        </w:rPr>
      </w:pPr>
      <w:r w:rsidRPr="00F41CF9">
        <w:rPr>
          <w:rFonts w:cs="Arial"/>
          <w:b/>
        </w:rPr>
        <w:t>Analysis of the Amber Savings</w:t>
      </w:r>
    </w:p>
    <w:p w:rsidR="00125502" w:rsidRDefault="00125502" w:rsidP="00957F91">
      <w:pPr>
        <w:pStyle w:val="ListParagraph"/>
        <w:numPr>
          <w:ilvl w:val="0"/>
          <w:numId w:val="171"/>
        </w:numPr>
        <w:ind w:left="709" w:right="304" w:hanging="709"/>
        <w:jc w:val="both"/>
        <w:rPr>
          <w:rFonts w:cs="Arial"/>
        </w:rPr>
      </w:pPr>
      <w:r w:rsidRPr="00F41CF9">
        <w:rPr>
          <w:rFonts w:cs="Arial"/>
        </w:rPr>
        <w:t>The amber rating indicates that a saving was partially achieved in the year but not fully achieved</w:t>
      </w:r>
      <w:r w:rsidR="00D74868" w:rsidRPr="00F41CF9">
        <w:rPr>
          <w:rFonts w:cs="Arial"/>
        </w:rPr>
        <w:t>. T</w:t>
      </w:r>
      <w:r w:rsidRPr="00F41CF9">
        <w:rPr>
          <w:rFonts w:cs="Arial"/>
        </w:rPr>
        <w:t>he £</w:t>
      </w:r>
      <w:r w:rsidR="00F23923" w:rsidRPr="00F41CF9">
        <w:rPr>
          <w:rFonts w:cs="Arial"/>
        </w:rPr>
        <w:t>0.</w:t>
      </w:r>
      <w:r w:rsidR="0093197A" w:rsidRPr="00400300">
        <w:rPr>
          <w:rFonts w:cs="Arial"/>
        </w:rPr>
        <w:t>733</w:t>
      </w:r>
      <w:r w:rsidRPr="00F41CF9">
        <w:rPr>
          <w:rFonts w:cs="Arial"/>
        </w:rPr>
        <w:t>m of amber savings (in</w:t>
      </w:r>
      <w:r w:rsidR="00947728">
        <w:rPr>
          <w:rFonts w:cs="Arial"/>
        </w:rPr>
        <w:t xml:space="preserve"> </w:t>
      </w:r>
      <w:r w:rsidRPr="00F41CF9">
        <w:rPr>
          <w:rFonts w:cs="Arial"/>
        </w:rPr>
        <w:t>Table</w:t>
      </w:r>
      <w:r w:rsidR="00947728">
        <w:rPr>
          <w:rFonts w:cs="Arial"/>
        </w:rPr>
        <w:t xml:space="preserve"> </w:t>
      </w:r>
      <w:r w:rsidR="006513BD">
        <w:rPr>
          <w:rFonts w:cs="Arial"/>
        </w:rPr>
        <w:t>7</w:t>
      </w:r>
      <w:r w:rsidR="005314CD" w:rsidRPr="00F41CF9">
        <w:rPr>
          <w:rFonts w:cs="Arial"/>
        </w:rPr>
        <w:t>) have</w:t>
      </w:r>
      <w:r w:rsidRPr="00F41CF9">
        <w:rPr>
          <w:rFonts w:cs="Arial"/>
        </w:rPr>
        <w:t xml:space="preserve"> been further </w:t>
      </w:r>
      <w:r w:rsidR="001E1F78" w:rsidRPr="00F41CF9">
        <w:rPr>
          <w:rFonts w:cs="Arial"/>
        </w:rPr>
        <w:t xml:space="preserve">analysed </w:t>
      </w:r>
      <w:r w:rsidR="001E1F78">
        <w:rPr>
          <w:rFonts w:cs="Arial"/>
        </w:rPr>
        <w:t>in</w:t>
      </w:r>
      <w:r w:rsidR="00947728">
        <w:rPr>
          <w:rFonts w:cs="Arial"/>
        </w:rPr>
        <w:t xml:space="preserve"> table </w:t>
      </w:r>
      <w:r w:rsidR="00606C3F">
        <w:rPr>
          <w:rFonts w:cs="Arial"/>
        </w:rPr>
        <w:t>7</w:t>
      </w:r>
      <w:r w:rsidR="00947728">
        <w:rPr>
          <w:rFonts w:cs="Arial"/>
        </w:rPr>
        <w:t xml:space="preserve"> </w:t>
      </w:r>
      <w:r w:rsidR="00D74868" w:rsidRPr="00F41CF9">
        <w:rPr>
          <w:rFonts w:cs="Arial"/>
        </w:rPr>
        <w:t>to show how much was achieved (green) and the amount of unachieved savings (Red).</w:t>
      </w:r>
    </w:p>
    <w:p w:rsidR="00406507" w:rsidRDefault="00406507" w:rsidP="00957F91">
      <w:pPr>
        <w:ind w:right="304"/>
        <w:jc w:val="both"/>
        <w:rPr>
          <w:rFonts w:cs="Arial"/>
        </w:rPr>
      </w:pPr>
    </w:p>
    <w:p w:rsidR="005C3109" w:rsidRDefault="005C3109" w:rsidP="00957F91">
      <w:pPr>
        <w:ind w:right="304"/>
        <w:jc w:val="both"/>
        <w:rPr>
          <w:rFonts w:cs="Arial"/>
        </w:rPr>
      </w:pPr>
    </w:p>
    <w:p w:rsidR="005C3109" w:rsidRDefault="005C3109" w:rsidP="00957F91">
      <w:pPr>
        <w:ind w:right="304"/>
        <w:jc w:val="both"/>
        <w:rPr>
          <w:rFonts w:cs="Arial"/>
        </w:rPr>
      </w:pPr>
    </w:p>
    <w:p w:rsidR="005C3109" w:rsidRDefault="005C3109" w:rsidP="00400300">
      <w:pPr>
        <w:ind w:right="304" w:firstLine="567"/>
        <w:jc w:val="both"/>
        <w:rPr>
          <w:rFonts w:cs="Arial"/>
        </w:rPr>
      </w:pPr>
    </w:p>
    <w:p w:rsidR="001215AE" w:rsidRDefault="001215AE" w:rsidP="00400300">
      <w:pPr>
        <w:ind w:right="304" w:firstLine="567"/>
        <w:jc w:val="both"/>
        <w:rPr>
          <w:rFonts w:cs="Arial"/>
        </w:rPr>
      </w:pPr>
    </w:p>
    <w:p w:rsidR="00276D51" w:rsidRDefault="00276D51" w:rsidP="00957F91">
      <w:pPr>
        <w:ind w:right="304" w:firstLine="709"/>
        <w:jc w:val="both"/>
        <w:rPr>
          <w:rFonts w:cs="Arial"/>
          <w:b/>
          <w:u w:val="single"/>
        </w:rPr>
      </w:pPr>
      <w:r w:rsidRPr="00F41CF9">
        <w:rPr>
          <w:rFonts w:cs="Arial"/>
          <w:b/>
          <w:u w:val="single"/>
        </w:rPr>
        <w:t xml:space="preserve">Table </w:t>
      </w:r>
      <w:r w:rsidR="0017736A">
        <w:rPr>
          <w:rFonts w:cs="Arial"/>
          <w:b/>
          <w:u w:val="single"/>
        </w:rPr>
        <w:t>7</w:t>
      </w:r>
      <w:r w:rsidRPr="00F41CF9">
        <w:rPr>
          <w:rFonts w:cs="Arial"/>
          <w:b/>
          <w:u w:val="single"/>
        </w:rPr>
        <w:t>: Analysis of 201</w:t>
      </w:r>
      <w:r w:rsidR="00F23923" w:rsidRPr="00F41CF9">
        <w:rPr>
          <w:rFonts w:cs="Arial"/>
          <w:b/>
          <w:u w:val="single"/>
        </w:rPr>
        <w:t>8</w:t>
      </w:r>
      <w:r w:rsidRPr="00F41CF9">
        <w:rPr>
          <w:rFonts w:cs="Arial"/>
          <w:b/>
          <w:u w:val="single"/>
        </w:rPr>
        <w:t>/1</w:t>
      </w:r>
      <w:r w:rsidR="00F23923" w:rsidRPr="00F41CF9">
        <w:rPr>
          <w:rFonts w:cs="Arial"/>
          <w:b/>
          <w:u w:val="single"/>
        </w:rPr>
        <w:t>9</w:t>
      </w:r>
      <w:r w:rsidRPr="00F41CF9">
        <w:rPr>
          <w:rFonts w:cs="Arial"/>
          <w:b/>
          <w:u w:val="single"/>
        </w:rPr>
        <w:t xml:space="preserve"> Amber Savings</w:t>
      </w:r>
    </w:p>
    <w:p w:rsidR="00AC2050" w:rsidRDefault="002672EA" w:rsidP="00957F91">
      <w:pPr>
        <w:ind w:right="304" w:firstLine="709"/>
        <w:jc w:val="both"/>
        <w:rPr>
          <w:rFonts w:cs="Arial"/>
          <w:b/>
          <w:u w:val="single"/>
        </w:rPr>
      </w:pPr>
      <w:r w:rsidRPr="00957F91">
        <w:rPr>
          <w:rFonts w:cs="Arial"/>
          <w:b/>
          <w:noProof/>
          <w:lang w:eastAsia="en-GB"/>
        </w:rPr>
        <w:drawing>
          <wp:inline distT="0" distB="0" distL="0" distR="0" wp14:anchorId="2621080D" wp14:editId="5C3E95D7">
            <wp:extent cx="3145790" cy="117665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5790" cy="1176655"/>
                    </a:xfrm>
                    <a:prstGeom prst="rect">
                      <a:avLst/>
                    </a:prstGeom>
                    <a:noFill/>
                  </pic:spPr>
                </pic:pic>
              </a:graphicData>
            </a:graphic>
          </wp:inline>
        </w:drawing>
      </w:r>
    </w:p>
    <w:p w:rsidR="00B439DF" w:rsidRPr="00F41CF9" w:rsidRDefault="00B439DF" w:rsidP="00400300">
      <w:pPr>
        <w:ind w:right="304" w:firstLine="567"/>
        <w:jc w:val="both"/>
        <w:rPr>
          <w:rFonts w:cs="Arial"/>
          <w:b/>
          <w:u w:val="single"/>
        </w:rPr>
      </w:pPr>
    </w:p>
    <w:p w:rsidR="00F23923" w:rsidRPr="00400300" w:rsidRDefault="00F23923">
      <w:pPr>
        <w:ind w:right="304"/>
        <w:jc w:val="both"/>
        <w:rPr>
          <w:rFonts w:cs="Arial"/>
          <w:b/>
          <w:highlight w:val="yellow"/>
          <w:u w:val="single"/>
        </w:rPr>
      </w:pPr>
    </w:p>
    <w:p w:rsidR="0093197A" w:rsidRPr="00400300" w:rsidRDefault="0093197A" w:rsidP="00957F91">
      <w:pPr>
        <w:pStyle w:val="ListParagraph"/>
        <w:numPr>
          <w:ilvl w:val="0"/>
          <w:numId w:val="171"/>
        </w:numPr>
        <w:ind w:left="709" w:right="304" w:hanging="709"/>
        <w:jc w:val="both"/>
        <w:rPr>
          <w:rFonts w:cs="Arial"/>
        </w:rPr>
      </w:pPr>
      <w:r w:rsidRPr="00400300">
        <w:rPr>
          <w:rFonts w:cs="Arial"/>
          <w:b/>
        </w:rPr>
        <w:t>Community</w:t>
      </w:r>
      <w:r w:rsidR="000940C6" w:rsidRPr="00B51E0D">
        <w:rPr>
          <w:rFonts w:cs="Arial"/>
          <w:b/>
        </w:rPr>
        <w:t xml:space="preserve"> </w:t>
      </w:r>
      <w:r w:rsidR="00B25E8F" w:rsidRPr="00B51E0D">
        <w:rPr>
          <w:rFonts w:cs="Arial"/>
        </w:rPr>
        <w:t>-</w:t>
      </w:r>
      <w:r w:rsidR="000940C6" w:rsidRPr="00B51E0D">
        <w:rPr>
          <w:rFonts w:cs="Arial"/>
          <w:b/>
        </w:rPr>
        <w:t xml:space="preserve"> </w:t>
      </w:r>
      <w:r w:rsidR="00C354A4" w:rsidRPr="00B51E0D">
        <w:rPr>
          <w:rFonts w:cs="Arial"/>
        </w:rPr>
        <w:t>O</w:t>
      </w:r>
      <w:r w:rsidR="000940C6" w:rsidRPr="00B51E0D">
        <w:rPr>
          <w:rFonts w:cs="Arial"/>
        </w:rPr>
        <w:t>f the</w:t>
      </w:r>
      <w:r w:rsidR="000940C6" w:rsidRPr="00B51E0D">
        <w:rPr>
          <w:rFonts w:cs="Arial"/>
          <w:b/>
        </w:rPr>
        <w:t xml:space="preserve"> </w:t>
      </w:r>
      <w:r w:rsidR="000940C6" w:rsidRPr="00B51E0D">
        <w:rPr>
          <w:rFonts w:cs="Arial"/>
        </w:rPr>
        <w:t>£0.</w:t>
      </w:r>
      <w:r w:rsidRPr="00400300">
        <w:rPr>
          <w:rFonts w:cs="Arial"/>
        </w:rPr>
        <w:t>300</w:t>
      </w:r>
      <w:r w:rsidR="000940C6" w:rsidRPr="00B51E0D">
        <w:rPr>
          <w:rFonts w:cs="Arial"/>
        </w:rPr>
        <w:t xml:space="preserve">m </w:t>
      </w:r>
      <w:r w:rsidRPr="00400300">
        <w:rPr>
          <w:rFonts w:cs="Arial"/>
        </w:rPr>
        <w:t>savings categorised as amber in Community, the following savings of £0.195m has been re-categorised as red:</w:t>
      </w:r>
    </w:p>
    <w:p w:rsidR="0093197A" w:rsidRPr="00400300" w:rsidRDefault="0093197A" w:rsidP="00400300">
      <w:pPr>
        <w:pStyle w:val="ListParagraph"/>
        <w:ind w:left="567" w:right="304"/>
        <w:jc w:val="both"/>
        <w:rPr>
          <w:rFonts w:cs="Arial"/>
        </w:rPr>
      </w:pPr>
    </w:p>
    <w:p w:rsidR="0093197A" w:rsidRPr="00400300" w:rsidRDefault="0093197A" w:rsidP="00957F91">
      <w:pPr>
        <w:pStyle w:val="ListParagraph"/>
        <w:numPr>
          <w:ilvl w:val="0"/>
          <w:numId w:val="153"/>
        </w:numPr>
        <w:ind w:left="1134" w:right="304" w:hanging="425"/>
        <w:jc w:val="both"/>
        <w:rPr>
          <w:rFonts w:cs="Arial"/>
        </w:rPr>
      </w:pPr>
      <w:r w:rsidRPr="00400300">
        <w:rPr>
          <w:rFonts w:cs="Arial"/>
        </w:rPr>
        <w:t>Phase 2 of Environment &amp; Culture Re</w:t>
      </w:r>
      <w:r w:rsidR="00947728">
        <w:rPr>
          <w:rFonts w:cs="Arial"/>
        </w:rPr>
        <w:t>view - Regulatory Services £0.200m</w:t>
      </w:r>
      <w:r w:rsidRPr="00400300">
        <w:rPr>
          <w:rFonts w:cs="Arial"/>
        </w:rPr>
        <w:t>. The delay in the commencement of the enforcement review meant that the saving was not fully achieved in 18/19. Out of the £</w:t>
      </w:r>
      <w:r w:rsidR="00947728">
        <w:rPr>
          <w:rFonts w:cs="Arial"/>
        </w:rPr>
        <w:t>0.</w:t>
      </w:r>
      <w:r w:rsidRPr="00400300">
        <w:rPr>
          <w:rFonts w:cs="Arial"/>
        </w:rPr>
        <w:t>200</w:t>
      </w:r>
      <w:r w:rsidR="00947728">
        <w:rPr>
          <w:rFonts w:cs="Arial"/>
        </w:rPr>
        <w:t>m</w:t>
      </w:r>
      <w:r w:rsidRPr="00400300">
        <w:rPr>
          <w:rFonts w:cs="Arial"/>
        </w:rPr>
        <w:t xml:space="preserve"> target, £</w:t>
      </w:r>
      <w:r w:rsidR="00947728">
        <w:rPr>
          <w:rFonts w:cs="Arial"/>
        </w:rPr>
        <w:t>0.0</w:t>
      </w:r>
      <w:r w:rsidRPr="00400300">
        <w:rPr>
          <w:rFonts w:cs="Arial"/>
        </w:rPr>
        <w:t>50</w:t>
      </w:r>
      <w:r w:rsidR="00947728">
        <w:rPr>
          <w:rFonts w:cs="Arial"/>
        </w:rPr>
        <w:t>m</w:t>
      </w:r>
      <w:r w:rsidRPr="00400300">
        <w:rPr>
          <w:rFonts w:cs="Arial"/>
        </w:rPr>
        <w:t xml:space="preserve"> was achieved through additional licensing income and the remaining £</w:t>
      </w:r>
      <w:r w:rsidR="00947728">
        <w:rPr>
          <w:rFonts w:cs="Arial"/>
        </w:rPr>
        <w:t>0.</w:t>
      </w:r>
      <w:r w:rsidRPr="00400300">
        <w:rPr>
          <w:rFonts w:cs="Arial"/>
        </w:rPr>
        <w:t>150</w:t>
      </w:r>
      <w:r w:rsidR="00947728">
        <w:rPr>
          <w:rFonts w:cs="Arial"/>
        </w:rPr>
        <w:t>m</w:t>
      </w:r>
      <w:r w:rsidRPr="00400300">
        <w:rPr>
          <w:rFonts w:cs="Arial"/>
        </w:rPr>
        <w:t xml:space="preserve"> was unachieved in 18/19</w:t>
      </w:r>
      <w:r w:rsidR="00947728">
        <w:rPr>
          <w:rFonts w:cs="Arial"/>
        </w:rPr>
        <w:t>.</w:t>
      </w:r>
      <w:r w:rsidRPr="00400300">
        <w:rPr>
          <w:rFonts w:cs="Arial"/>
          <w:b/>
        </w:rPr>
        <w:t xml:space="preserve"> </w:t>
      </w:r>
    </w:p>
    <w:p w:rsidR="00B51E0D" w:rsidRPr="00400300" w:rsidRDefault="00B51E0D" w:rsidP="00400300">
      <w:pPr>
        <w:pStyle w:val="ListParagraph"/>
        <w:ind w:left="1287" w:right="304"/>
        <w:jc w:val="both"/>
        <w:rPr>
          <w:rFonts w:cs="Arial"/>
        </w:rPr>
      </w:pPr>
    </w:p>
    <w:p w:rsidR="00B51E0D" w:rsidRDefault="0093197A" w:rsidP="00957F91">
      <w:pPr>
        <w:pStyle w:val="ListParagraph"/>
        <w:numPr>
          <w:ilvl w:val="0"/>
          <w:numId w:val="153"/>
        </w:numPr>
        <w:ind w:left="1134" w:right="304" w:hanging="425"/>
        <w:jc w:val="both"/>
        <w:rPr>
          <w:rFonts w:cs="Arial"/>
        </w:rPr>
      </w:pPr>
      <w:r w:rsidRPr="00400300">
        <w:rPr>
          <w:rFonts w:cs="Arial"/>
        </w:rPr>
        <w:t>£0.0</w:t>
      </w:r>
      <w:r w:rsidR="006B590E">
        <w:rPr>
          <w:rFonts w:cs="Arial"/>
        </w:rPr>
        <w:t>45</w:t>
      </w:r>
      <w:r w:rsidRPr="00400300">
        <w:rPr>
          <w:rFonts w:cs="Arial"/>
        </w:rPr>
        <w:t xml:space="preserve">m relates to the </w:t>
      </w:r>
      <w:r w:rsidR="00B51E0D" w:rsidRPr="00400300">
        <w:rPr>
          <w:rFonts w:cs="Arial"/>
        </w:rPr>
        <w:t>Housing Related procurement savings</w:t>
      </w:r>
      <w:r w:rsidR="006B590E">
        <w:rPr>
          <w:rFonts w:cs="Arial"/>
        </w:rPr>
        <w:t xml:space="preserve"> which result in a one-off non achievement of £0.045m</w:t>
      </w:r>
      <w:r w:rsidR="00B51E0D" w:rsidRPr="00400300">
        <w:rPr>
          <w:rFonts w:cs="Arial"/>
        </w:rPr>
        <w:t>.</w:t>
      </w:r>
    </w:p>
    <w:p w:rsidR="00B51E0D" w:rsidRPr="00C426AD" w:rsidRDefault="00B51E0D" w:rsidP="00400300">
      <w:pPr>
        <w:pStyle w:val="ListParagraph"/>
        <w:jc w:val="both"/>
        <w:rPr>
          <w:rFonts w:cs="Arial"/>
        </w:rPr>
      </w:pPr>
    </w:p>
    <w:p w:rsidR="005850A7" w:rsidRPr="00400300" w:rsidRDefault="0093197A" w:rsidP="00957F91">
      <w:pPr>
        <w:pStyle w:val="ListParagraph"/>
        <w:numPr>
          <w:ilvl w:val="0"/>
          <w:numId w:val="171"/>
        </w:numPr>
        <w:ind w:left="709" w:right="304" w:hanging="709"/>
        <w:jc w:val="both"/>
        <w:rPr>
          <w:rFonts w:cs="Arial"/>
        </w:rPr>
      </w:pPr>
      <w:r w:rsidRPr="00400300">
        <w:rPr>
          <w:rFonts w:cs="Arial"/>
        </w:rPr>
        <w:t xml:space="preserve"> </w:t>
      </w:r>
      <w:r w:rsidR="00B51E0D" w:rsidRPr="00400300">
        <w:rPr>
          <w:rFonts w:cs="Arial"/>
          <w:b/>
        </w:rPr>
        <w:t>People</w:t>
      </w:r>
      <w:r w:rsidR="00B51E0D" w:rsidRPr="00400300">
        <w:rPr>
          <w:rFonts w:cs="Arial"/>
        </w:rPr>
        <w:t xml:space="preserve"> – The total savings of £0.433m classifi</w:t>
      </w:r>
      <w:r w:rsidR="005850A7" w:rsidRPr="00400300">
        <w:rPr>
          <w:rFonts w:cs="Arial"/>
        </w:rPr>
        <w:t xml:space="preserve">ed as amber is made up of </w:t>
      </w:r>
      <w:r w:rsidR="00404180">
        <w:rPr>
          <w:rFonts w:cs="Arial"/>
        </w:rPr>
        <w:t xml:space="preserve">  </w:t>
      </w:r>
      <w:r w:rsidR="005850A7" w:rsidRPr="00400300">
        <w:rPr>
          <w:rFonts w:cs="Arial"/>
        </w:rPr>
        <w:t>£0.110m red savings and £0.323</w:t>
      </w:r>
      <w:r w:rsidR="00B51E0D" w:rsidRPr="00400300">
        <w:rPr>
          <w:rFonts w:cs="Arial"/>
        </w:rPr>
        <w:t>m green sa</w:t>
      </w:r>
      <w:r w:rsidR="005850A7" w:rsidRPr="00400300">
        <w:rPr>
          <w:rFonts w:cs="Arial"/>
        </w:rPr>
        <w:t>vings. The red savings of £0.110</w:t>
      </w:r>
      <w:r w:rsidR="00B51E0D" w:rsidRPr="00400300">
        <w:rPr>
          <w:rFonts w:cs="Arial"/>
        </w:rPr>
        <w:t xml:space="preserve">m </w:t>
      </w:r>
      <w:r w:rsidR="00404180">
        <w:rPr>
          <w:rFonts w:cs="Arial"/>
        </w:rPr>
        <w:t xml:space="preserve"> </w:t>
      </w:r>
      <w:r w:rsidR="00B51E0D" w:rsidRPr="00400300">
        <w:rPr>
          <w:rFonts w:cs="Arial"/>
        </w:rPr>
        <w:t>which are all in Adult</w:t>
      </w:r>
      <w:r w:rsidR="005A689F">
        <w:rPr>
          <w:rFonts w:cs="Arial"/>
        </w:rPr>
        <w:t>s</w:t>
      </w:r>
      <w:r w:rsidR="00B51E0D" w:rsidRPr="00400300">
        <w:rPr>
          <w:rFonts w:cs="Arial"/>
        </w:rPr>
        <w:t xml:space="preserve"> is detailed as follow</w:t>
      </w:r>
      <w:r w:rsidR="005A689F">
        <w:rPr>
          <w:rFonts w:cs="Arial"/>
        </w:rPr>
        <w:t>s;</w:t>
      </w:r>
    </w:p>
    <w:p w:rsidR="000808DA" w:rsidRPr="00400300" w:rsidRDefault="000808DA" w:rsidP="00400300">
      <w:pPr>
        <w:pStyle w:val="ListParagraph"/>
        <w:ind w:left="567" w:right="304"/>
        <w:jc w:val="both"/>
        <w:rPr>
          <w:rFonts w:cs="Arial"/>
        </w:rPr>
      </w:pPr>
    </w:p>
    <w:p w:rsidR="005850A7" w:rsidRPr="00400300" w:rsidRDefault="00B51E0D" w:rsidP="00957F91">
      <w:pPr>
        <w:pStyle w:val="ListParagraph"/>
        <w:numPr>
          <w:ilvl w:val="0"/>
          <w:numId w:val="154"/>
        </w:numPr>
        <w:ind w:left="1134" w:right="304" w:hanging="425"/>
        <w:jc w:val="both"/>
        <w:rPr>
          <w:rFonts w:cs="Arial"/>
        </w:rPr>
      </w:pPr>
      <w:r w:rsidRPr="00400300">
        <w:rPr>
          <w:rFonts w:cs="Arial"/>
        </w:rPr>
        <w:t>£0.</w:t>
      </w:r>
      <w:r w:rsidR="00A67011">
        <w:rPr>
          <w:rFonts w:cs="Arial"/>
        </w:rPr>
        <w:t>0</w:t>
      </w:r>
      <w:r w:rsidR="00E60FD8" w:rsidRPr="00400300">
        <w:rPr>
          <w:rFonts w:cs="Arial"/>
        </w:rPr>
        <w:t>5</w:t>
      </w:r>
      <w:r w:rsidR="00A67011">
        <w:rPr>
          <w:rFonts w:cs="Arial"/>
        </w:rPr>
        <w:t>0</w:t>
      </w:r>
      <w:r w:rsidR="00E60FD8" w:rsidRPr="00400300">
        <w:rPr>
          <w:rFonts w:cs="Arial"/>
        </w:rPr>
        <w:t xml:space="preserve"> of the </w:t>
      </w:r>
      <w:r w:rsidRPr="00400300">
        <w:rPr>
          <w:rFonts w:cs="Arial"/>
        </w:rPr>
        <w:t>Restructure of Adult Social Care savings PA01</w:t>
      </w:r>
      <w:r w:rsidR="00157BE9" w:rsidRPr="00400300">
        <w:rPr>
          <w:rFonts w:cs="Arial"/>
        </w:rPr>
        <w:t xml:space="preserve"> has been classified as red, </w:t>
      </w:r>
      <w:r w:rsidR="005850A7" w:rsidRPr="00400300">
        <w:rPr>
          <w:rFonts w:cs="Arial"/>
        </w:rPr>
        <w:t xml:space="preserve">driven by transition of the new structure which will be fully delivered in </w:t>
      </w:r>
      <w:r w:rsidR="00404180">
        <w:rPr>
          <w:rFonts w:cs="Arial"/>
        </w:rPr>
        <w:t>20</w:t>
      </w:r>
      <w:r w:rsidR="005850A7" w:rsidRPr="00400300">
        <w:rPr>
          <w:rFonts w:cs="Arial"/>
        </w:rPr>
        <w:t>19/20.</w:t>
      </w:r>
    </w:p>
    <w:p w:rsidR="00B51E0D" w:rsidRPr="00400300" w:rsidRDefault="00B51E0D" w:rsidP="00400300">
      <w:pPr>
        <w:pStyle w:val="ListParagraph"/>
        <w:ind w:left="1287" w:right="304"/>
        <w:jc w:val="both"/>
        <w:rPr>
          <w:rFonts w:cs="Arial"/>
        </w:rPr>
      </w:pPr>
    </w:p>
    <w:p w:rsidR="005850A7" w:rsidRPr="00400300" w:rsidRDefault="00157BE9" w:rsidP="00957F91">
      <w:pPr>
        <w:pStyle w:val="ListParagraph"/>
        <w:numPr>
          <w:ilvl w:val="0"/>
          <w:numId w:val="154"/>
        </w:numPr>
        <w:ind w:left="1134" w:right="304" w:hanging="425"/>
        <w:jc w:val="both"/>
        <w:rPr>
          <w:rFonts w:cs="Arial"/>
        </w:rPr>
      </w:pPr>
      <w:r w:rsidRPr="00400300">
        <w:rPr>
          <w:rFonts w:cs="Arial"/>
        </w:rPr>
        <w:t xml:space="preserve">Of the floating support contract savings of £0.200m, </w:t>
      </w:r>
      <w:r w:rsidR="005850A7" w:rsidRPr="00400300">
        <w:rPr>
          <w:rFonts w:cs="Arial"/>
        </w:rPr>
        <w:t xml:space="preserve">£0.060m was expected to be achieved following contract award, however this has been challenging to operationalise and dialogue is on-going with the providers in relation to the contractual arrangements. It is anticipated that this will be resolved during </w:t>
      </w:r>
      <w:r w:rsidR="00404180">
        <w:rPr>
          <w:rFonts w:cs="Arial"/>
        </w:rPr>
        <w:t>20</w:t>
      </w:r>
      <w:r w:rsidR="005850A7" w:rsidRPr="00400300">
        <w:rPr>
          <w:rFonts w:cs="Arial"/>
        </w:rPr>
        <w:t>19/20.</w:t>
      </w:r>
    </w:p>
    <w:p w:rsidR="00947728" w:rsidRDefault="00947728" w:rsidP="00400300">
      <w:pPr>
        <w:ind w:right="304"/>
        <w:jc w:val="both"/>
        <w:rPr>
          <w:rFonts w:cs="Arial"/>
          <w:highlight w:val="yellow"/>
        </w:rPr>
      </w:pPr>
    </w:p>
    <w:p w:rsidR="00947728" w:rsidRDefault="00947728" w:rsidP="00400300">
      <w:pPr>
        <w:ind w:right="304"/>
        <w:jc w:val="both"/>
        <w:rPr>
          <w:rFonts w:cs="Arial"/>
          <w:highlight w:val="yellow"/>
        </w:rPr>
      </w:pPr>
    </w:p>
    <w:p w:rsidR="00BD47C5" w:rsidRPr="004D0913" w:rsidRDefault="00BD47C5" w:rsidP="00957F91">
      <w:pPr>
        <w:ind w:left="709" w:right="304"/>
        <w:jc w:val="both"/>
        <w:rPr>
          <w:rFonts w:cs="Arial"/>
          <w:b/>
        </w:rPr>
      </w:pPr>
      <w:r w:rsidRPr="004D0913">
        <w:rPr>
          <w:rFonts w:cs="Arial"/>
          <w:b/>
        </w:rPr>
        <w:t>HOUSING REVENUE ACCOUNT (HRA)</w:t>
      </w:r>
    </w:p>
    <w:p w:rsidR="00615AE1" w:rsidRPr="00957F91" w:rsidRDefault="00615AE1" w:rsidP="00957F91">
      <w:pPr>
        <w:pStyle w:val="ListParagraph"/>
        <w:numPr>
          <w:ilvl w:val="0"/>
          <w:numId w:val="171"/>
        </w:numPr>
        <w:ind w:left="709" w:right="304" w:hanging="709"/>
        <w:jc w:val="both"/>
        <w:rPr>
          <w:rFonts w:cs="Arial"/>
        </w:rPr>
      </w:pPr>
      <w:r w:rsidRPr="00957F91">
        <w:rPr>
          <w:rFonts w:cs="Arial"/>
        </w:rPr>
        <w:t>Results for the HRA show a surplus of £0.198m against a budgeted deficit of £1.099m, this surplus is due to lower depreciation charges, unutilised Revenue Contribution to Capital Outlay (RCCO) due to slippage in the capital programme, lower provision for bad debts, unutilised contingencies and increased capitalisation for the Homes-4- Harrow programme, partially offset by pressures on repairs. This surplus has been transferred to earmarked reserves to support the new build programme and to offset the impacts of welfare reforms.</w:t>
      </w:r>
    </w:p>
    <w:p w:rsidR="00C60258" w:rsidRPr="00F044AD" w:rsidRDefault="00C60258">
      <w:pPr>
        <w:pStyle w:val="ListParagraph"/>
        <w:ind w:left="567"/>
        <w:jc w:val="both"/>
        <w:rPr>
          <w:rFonts w:cs="Arial"/>
          <w:highlight w:val="yellow"/>
        </w:rPr>
      </w:pPr>
    </w:p>
    <w:p w:rsidR="000D6B68" w:rsidRDefault="00C60258" w:rsidP="00957F91">
      <w:pPr>
        <w:pStyle w:val="ListParagraph"/>
        <w:numPr>
          <w:ilvl w:val="0"/>
          <w:numId w:val="171"/>
        </w:numPr>
        <w:ind w:left="709" w:hanging="709"/>
        <w:jc w:val="both"/>
        <w:rPr>
          <w:rFonts w:cs="Arial"/>
        </w:rPr>
      </w:pPr>
      <w:r w:rsidRPr="00615AE1">
        <w:rPr>
          <w:rFonts w:cs="Arial"/>
        </w:rPr>
        <w:t xml:space="preserve">A summary of the HRA position is set out in table </w:t>
      </w:r>
      <w:r w:rsidR="0017736A">
        <w:rPr>
          <w:rFonts w:cs="Arial"/>
        </w:rPr>
        <w:t>8</w:t>
      </w:r>
      <w:r w:rsidRPr="00615AE1">
        <w:rPr>
          <w:rFonts w:cs="Arial"/>
        </w:rPr>
        <w:t xml:space="preserve"> below</w:t>
      </w:r>
      <w:r w:rsidR="00615AE1" w:rsidRPr="00615AE1">
        <w:rPr>
          <w:rFonts w:cs="Arial"/>
        </w:rPr>
        <w:t>:</w:t>
      </w:r>
      <w:r w:rsidR="00AC2050" w:rsidRPr="00615AE1">
        <w:rPr>
          <w:rFonts w:cs="Arial"/>
        </w:rPr>
        <w:t xml:space="preserve">          </w:t>
      </w:r>
    </w:p>
    <w:p w:rsidR="000D6B68" w:rsidRDefault="000D6B68">
      <w:pPr>
        <w:jc w:val="both"/>
        <w:rPr>
          <w:rFonts w:cs="Arial"/>
        </w:rPr>
      </w:pPr>
    </w:p>
    <w:p w:rsidR="000D6B68" w:rsidRDefault="000D6B68">
      <w:pPr>
        <w:jc w:val="both"/>
        <w:rPr>
          <w:rFonts w:cs="Arial"/>
        </w:rPr>
      </w:pPr>
    </w:p>
    <w:p w:rsidR="000D6B68" w:rsidRDefault="000D6B68">
      <w:pPr>
        <w:jc w:val="both"/>
        <w:rPr>
          <w:rFonts w:cs="Arial"/>
        </w:rPr>
      </w:pPr>
    </w:p>
    <w:p w:rsidR="000D6B68" w:rsidRDefault="000D6B68">
      <w:pPr>
        <w:jc w:val="both"/>
        <w:rPr>
          <w:rFonts w:cs="Arial"/>
        </w:rPr>
      </w:pPr>
    </w:p>
    <w:p w:rsidR="00355BDD" w:rsidRDefault="00355BDD" w:rsidP="00957F91">
      <w:pPr>
        <w:jc w:val="both"/>
        <w:rPr>
          <w:rFonts w:cs="Arial"/>
          <w:b/>
          <w:u w:val="single"/>
        </w:rPr>
      </w:pPr>
    </w:p>
    <w:p w:rsidR="000D6B68" w:rsidRDefault="000D6B68" w:rsidP="00957F91">
      <w:pPr>
        <w:jc w:val="both"/>
        <w:rPr>
          <w:rFonts w:cs="Arial"/>
          <w:b/>
          <w:u w:val="single"/>
        </w:rPr>
      </w:pPr>
    </w:p>
    <w:p w:rsidR="00AC2050" w:rsidRPr="00AC2050" w:rsidRDefault="00355BDD" w:rsidP="00400300">
      <w:pPr>
        <w:ind w:firstLine="720"/>
        <w:jc w:val="both"/>
        <w:rPr>
          <w:rFonts w:cs="Arial"/>
          <w:b/>
          <w:u w:val="single"/>
        </w:rPr>
      </w:pPr>
      <w:r w:rsidRPr="00957F91">
        <w:rPr>
          <w:rFonts w:cs="Arial"/>
          <w:b/>
        </w:rPr>
        <w:t xml:space="preserve"> </w:t>
      </w:r>
      <w:r w:rsidR="001E1F78">
        <w:rPr>
          <w:rFonts w:cs="Arial"/>
          <w:b/>
          <w:u w:val="single"/>
        </w:rPr>
        <w:t xml:space="preserve">Table </w:t>
      </w:r>
      <w:r w:rsidR="0017736A">
        <w:rPr>
          <w:rFonts w:cs="Arial"/>
          <w:b/>
          <w:u w:val="single"/>
        </w:rPr>
        <w:t>8</w:t>
      </w:r>
      <w:r w:rsidR="00AC2050" w:rsidRPr="00400300">
        <w:rPr>
          <w:rFonts w:cs="Arial"/>
          <w:b/>
          <w:u w:val="single"/>
        </w:rPr>
        <w:t>: Summary of HRA Position</w:t>
      </w:r>
    </w:p>
    <w:p w:rsidR="00947728" w:rsidRPr="00400300" w:rsidDel="004D0913" w:rsidRDefault="00947728" w:rsidP="00400300">
      <w:pPr>
        <w:pStyle w:val="ListParagraph"/>
        <w:ind w:left="0" w:firstLine="567"/>
        <w:jc w:val="both"/>
        <w:rPr>
          <w:rFonts w:cs="Arial"/>
        </w:rPr>
      </w:pPr>
      <w:r w:rsidRPr="00400300">
        <w:rPr>
          <w:rFonts w:cs="Arial"/>
        </w:rPr>
        <w:t xml:space="preserve">    </w:t>
      </w:r>
      <w:r w:rsidR="00AC2050" w:rsidRPr="00A42B8B">
        <w:rPr>
          <w:noProof/>
          <w:lang w:eastAsia="en-GB"/>
        </w:rPr>
        <w:drawing>
          <wp:inline distT="0" distB="0" distL="0" distR="0" wp14:anchorId="228A40CC" wp14:editId="2CE49E9D">
            <wp:extent cx="4467860" cy="1533525"/>
            <wp:effectExtent l="0" t="0" r="889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7860" cy="1533525"/>
                    </a:xfrm>
                    <a:prstGeom prst="rect">
                      <a:avLst/>
                    </a:prstGeom>
                    <a:noFill/>
                    <a:ln>
                      <a:noFill/>
                    </a:ln>
                  </pic:spPr>
                </pic:pic>
              </a:graphicData>
            </a:graphic>
          </wp:inline>
        </w:drawing>
      </w:r>
    </w:p>
    <w:p w:rsidR="00C36877" w:rsidRPr="00400300" w:rsidRDefault="00C36877">
      <w:pPr>
        <w:pStyle w:val="ListParagraph"/>
        <w:ind w:left="142"/>
        <w:jc w:val="both"/>
        <w:rPr>
          <w:rFonts w:cs="Arial"/>
          <w:b/>
          <w:u w:val="single"/>
        </w:rPr>
      </w:pPr>
    </w:p>
    <w:p w:rsidR="00947728" w:rsidRDefault="00947728">
      <w:pPr>
        <w:pStyle w:val="ListParagraph"/>
        <w:ind w:left="142"/>
        <w:jc w:val="both"/>
        <w:rPr>
          <w:rFonts w:cs="Arial"/>
          <w:b/>
          <w:u w:val="single"/>
        </w:rPr>
      </w:pPr>
    </w:p>
    <w:p w:rsidR="00BD47C5" w:rsidRPr="00F41CF9" w:rsidRDefault="00355BDD" w:rsidP="00957F91">
      <w:pPr>
        <w:pStyle w:val="ListParagraph"/>
        <w:ind w:left="709"/>
        <w:jc w:val="both"/>
        <w:rPr>
          <w:rFonts w:cs="Arial"/>
          <w:b/>
        </w:rPr>
      </w:pPr>
      <w:r w:rsidRPr="00957F91">
        <w:rPr>
          <w:rFonts w:cs="Arial"/>
          <w:b/>
        </w:rPr>
        <w:t xml:space="preserve"> </w:t>
      </w:r>
      <w:r w:rsidR="00BD47C5" w:rsidRPr="00957F91">
        <w:rPr>
          <w:rFonts w:cs="Arial"/>
          <w:b/>
        </w:rPr>
        <w:t>Co</w:t>
      </w:r>
      <w:r w:rsidR="00F41CF9" w:rsidRPr="00957F91">
        <w:rPr>
          <w:rFonts w:cs="Arial"/>
          <w:b/>
        </w:rPr>
        <w:t>mmercialisation update</w:t>
      </w:r>
    </w:p>
    <w:p w:rsidR="00615AE1" w:rsidRDefault="00BD47C5" w:rsidP="00957F91">
      <w:pPr>
        <w:pStyle w:val="ListParagraph"/>
        <w:numPr>
          <w:ilvl w:val="0"/>
          <w:numId w:val="171"/>
        </w:numPr>
        <w:ind w:left="709" w:hanging="709"/>
        <w:jc w:val="both"/>
        <w:rPr>
          <w:rFonts w:cs="Arial"/>
        </w:rPr>
      </w:pPr>
      <w:r w:rsidRPr="00F41CF9">
        <w:rPr>
          <w:rFonts w:cs="Arial"/>
        </w:rPr>
        <w:t xml:space="preserve">The </w:t>
      </w:r>
      <w:r w:rsidR="00887F66">
        <w:rPr>
          <w:rFonts w:cs="Arial"/>
        </w:rPr>
        <w:t>Commercialisation Update 2018/19 (</w:t>
      </w:r>
      <w:r w:rsidR="00CE608E">
        <w:rPr>
          <w:rFonts w:cs="Arial"/>
        </w:rPr>
        <w:t>Qtr.</w:t>
      </w:r>
      <w:r w:rsidR="00887F66">
        <w:rPr>
          <w:rFonts w:cs="Arial"/>
        </w:rPr>
        <w:t xml:space="preserve"> 4) </w:t>
      </w:r>
      <w:r w:rsidR="00947728">
        <w:rPr>
          <w:rFonts w:cs="Arial"/>
        </w:rPr>
        <w:t>is included as Ap</w:t>
      </w:r>
      <w:r w:rsidR="00724573">
        <w:rPr>
          <w:rFonts w:cs="Arial"/>
        </w:rPr>
        <w:t>pendix 5</w:t>
      </w:r>
      <w:r w:rsidR="00887F66">
        <w:rPr>
          <w:rFonts w:cs="Arial"/>
        </w:rPr>
        <w:t>.</w:t>
      </w:r>
    </w:p>
    <w:p w:rsidR="00B6779A" w:rsidRPr="00B762EB" w:rsidRDefault="00B6779A" w:rsidP="00957F91">
      <w:pPr>
        <w:pStyle w:val="ListParagraph"/>
        <w:ind w:left="567"/>
        <w:jc w:val="both"/>
        <w:rPr>
          <w:rFonts w:cs="Arial"/>
        </w:rPr>
      </w:pPr>
    </w:p>
    <w:p w:rsidR="001F1F6F" w:rsidRDefault="001F1F6F">
      <w:pPr>
        <w:ind w:right="304"/>
        <w:jc w:val="both"/>
        <w:rPr>
          <w:rFonts w:cs="Arial"/>
          <w:b/>
        </w:rPr>
      </w:pPr>
    </w:p>
    <w:p w:rsidR="000D51A7" w:rsidRPr="000D51A7" w:rsidRDefault="000D51A7" w:rsidP="00957F91">
      <w:pPr>
        <w:pStyle w:val="ListParagraph"/>
        <w:numPr>
          <w:ilvl w:val="0"/>
          <w:numId w:val="114"/>
        </w:numPr>
        <w:ind w:left="709" w:right="304" w:hanging="709"/>
        <w:jc w:val="both"/>
        <w:rPr>
          <w:rFonts w:cs="Arial"/>
          <w:b/>
        </w:rPr>
      </w:pPr>
      <w:r w:rsidRPr="000D51A7">
        <w:rPr>
          <w:rFonts w:cs="Arial"/>
          <w:b/>
        </w:rPr>
        <w:t>CAPITAL</w:t>
      </w:r>
    </w:p>
    <w:p w:rsidR="000D51A7" w:rsidRPr="00DD7468" w:rsidRDefault="000D51A7">
      <w:pPr>
        <w:pStyle w:val="ListParagraph"/>
        <w:ind w:left="567"/>
        <w:jc w:val="both"/>
        <w:rPr>
          <w:rFonts w:cs="Arial"/>
        </w:rPr>
      </w:pPr>
    </w:p>
    <w:p w:rsidR="006B7848" w:rsidRPr="00B439DF" w:rsidRDefault="00BD47C5" w:rsidP="00957F91">
      <w:pPr>
        <w:pStyle w:val="ListParagraph"/>
        <w:numPr>
          <w:ilvl w:val="0"/>
          <w:numId w:val="114"/>
        </w:numPr>
        <w:ind w:left="709" w:hanging="709"/>
        <w:jc w:val="both"/>
        <w:rPr>
          <w:rFonts w:cs="Arial"/>
        </w:rPr>
      </w:pPr>
      <w:r w:rsidRPr="001E0D1B">
        <w:rPr>
          <w:rFonts w:cs="Arial"/>
          <w:szCs w:val="24"/>
        </w:rPr>
        <w:t>Total</w:t>
      </w:r>
      <w:r w:rsidRPr="00276194">
        <w:rPr>
          <w:rFonts w:cs="Arial"/>
        </w:rPr>
        <w:t xml:space="preserve"> spend on the </w:t>
      </w:r>
      <w:r w:rsidR="00887F66">
        <w:rPr>
          <w:rFonts w:cs="Arial"/>
        </w:rPr>
        <w:t>C</w:t>
      </w:r>
      <w:r w:rsidRPr="00276194">
        <w:rPr>
          <w:rFonts w:cs="Arial"/>
        </w:rPr>
        <w:t xml:space="preserve">apital </w:t>
      </w:r>
      <w:r w:rsidR="00887F66">
        <w:rPr>
          <w:rFonts w:cs="Arial"/>
        </w:rPr>
        <w:t>P</w:t>
      </w:r>
      <w:r w:rsidRPr="00276194">
        <w:rPr>
          <w:rFonts w:cs="Arial"/>
        </w:rPr>
        <w:t>rogramme for the year is £</w:t>
      </w:r>
      <w:r w:rsidR="009A5E53">
        <w:rPr>
          <w:rFonts w:cs="Arial"/>
        </w:rPr>
        <w:t>57.</w:t>
      </w:r>
      <w:r w:rsidR="00ED606D">
        <w:rPr>
          <w:rFonts w:cs="Arial"/>
        </w:rPr>
        <w:t>783</w:t>
      </w:r>
      <w:r w:rsidRPr="00276194">
        <w:rPr>
          <w:rFonts w:cs="Arial"/>
        </w:rPr>
        <w:t>m</w:t>
      </w:r>
      <w:r>
        <w:rPr>
          <w:rFonts w:cs="Arial"/>
        </w:rPr>
        <w:t xml:space="preserve">, which is </w:t>
      </w:r>
      <w:r w:rsidR="009A5E53">
        <w:rPr>
          <w:rFonts w:cs="Arial"/>
        </w:rPr>
        <w:t>2</w:t>
      </w:r>
      <w:r>
        <w:rPr>
          <w:rFonts w:cs="Arial"/>
        </w:rPr>
        <w:t>7% of the approved budget of £21</w:t>
      </w:r>
      <w:r w:rsidR="009A5E53">
        <w:rPr>
          <w:rFonts w:cs="Arial"/>
        </w:rPr>
        <w:t>7</w:t>
      </w:r>
      <w:r>
        <w:rPr>
          <w:rFonts w:cs="Arial"/>
        </w:rPr>
        <w:t>.5</w:t>
      </w:r>
      <w:r w:rsidR="00ED606D">
        <w:rPr>
          <w:rFonts w:cs="Arial"/>
        </w:rPr>
        <w:t>65</w:t>
      </w:r>
      <w:r>
        <w:rPr>
          <w:rFonts w:cs="Arial"/>
        </w:rPr>
        <w:t xml:space="preserve">m. </w:t>
      </w:r>
      <w:r w:rsidRPr="00A929D5">
        <w:rPr>
          <w:rFonts w:cs="Arial"/>
          <w:iCs/>
        </w:rPr>
        <w:t>The va</w:t>
      </w:r>
      <w:r w:rsidR="00D74868">
        <w:rPr>
          <w:rFonts w:cs="Arial"/>
          <w:iCs/>
        </w:rPr>
        <w:t>riance of £1</w:t>
      </w:r>
      <w:r w:rsidR="00157BE9">
        <w:rPr>
          <w:rFonts w:cs="Arial"/>
          <w:iCs/>
        </w:rPr>
        <w:t>59.</w:t>
      </w:r>
      <w:r w:rsidR="00ED606D">
        <w:rPr>
          <w:rFonts w:cs="Arial"/>
          <w:iCs/>
        </w:rPr>
        <w:t>78</w:t>
      </w:r>
      <w:r w:rsidR="003B516F">
        <w:rPr>
          <w:rFonts w:cs="Arial"/>
          <w:iCs/>
        </w:rPr>
        <w:t>2</w:t>
      </w:r>
      <w:r w:rsidR="00D74868">
        <w:rPr>
          <w:rFonts w:cs="Arial"/>
          <w:iCs/>
        </w:rPr>
        <w:t>m comprises</w:t>
      </w:r>
      <w:r w:rsidRPr="00A929D5">
        <w:rPr>
          <w:rFonts w:cs="Arial"/>
          <w:iCs/>
        </w:rPr>
        <w:t xml:space="preserve"> slippage</w:t>
      </w:r>
      <w:r w:rsidR="00D74868">
        <w:rPr>
          <w:rFonts w:cs="Arial"/>
          <w:iCs/>
        </w:rPr>
        <w:t xml:space="preserve"> of</w:t>
      </w:r>
      <w:r w:rsidRPr="00A929D5">
        <w:rPr>
          <w:rFonts w:cs="Arial"/>
          <w:iCs/>
        </w:rPr>
        <w:t xml:space="preserve"> £</w:t>
      </w:r>
      <w:r w:rsidR="009A5E53">
        <w:rPr>
          <w:rFonts w:cs="Arial"/>
          <w:iCs/>
        </w:rPr>
        <w:t>9</w:t>
      </w:r>
      <w:r w:rsidR="002F3525">
        <w:rPr>
          <w:rFonts w:cs="Arial"/>
          <w:iCs/>
        </w:rPr>
        <w:t>3.</w:t>
      </w:r>
      <w:r w:rsidR="006B2FB3">
        <w:rPr>
          <w:rFonts w:cs="Arial"/>
          <w:iCs/>
        </w:rPr>
        <w:t>616</w:t>
      </w:r>
      <w:r w:rsidRPr="00A929D5">
        <w:rPr>
          <w:rFonts w:cs="Arial"/>
          <w:iCs/>
        </w:rPr>
        <w:t>m</w:t>
      </w:r>
      <w:r>
        <w:rPr>
          <w:rFonts w:cs="Arial"/>
          <w:iCs/>
        </w:rPr>
        <w:t xml:space="preserve"> and</w:t>
      </w:r>
      <w:r w:rsidR="00D74868">
        <w:rPr>
          <w:rFonts w:cs="Arial"/>
          <w:iCs/>
        </w:rPr>
        <w:t xml:space="preserve"> an</w:t>
      </w:r>
      <w:r>
        <w:rPr>
          <w:rFonts w:cs="Arial"/>
          <w:iCs/>
        </w:rPr>
        <w:t xml:space="preserve"> </w:t>
      </w:r>
      <w:r w:rsidRPr="00A929D5">
        <w:rPr>
          <w:rFonts w:cs="Arial"/>
          <w:iCs/>
        </w:rPr>
        <w:t>under</w:t>
      </w:r>
      <w:r w:rsidR="005C3494">
        <w:rPr>
          <w:rFonts w:cs="Arial"/>
          <w:iCs/>
        </w:rPr>
        <w:t xml:space="preserve"> </w:t>
      </w:r>
      <w:r w:rsidRPr="00A929D5">
        <w:rPr>
          <w:rFonts w:cs="Arial"/>
          <w:iCs/>
        </w:rPr>
        <w:t>spend of £</w:t>
      </w:r>
      <w:r w:rsidR="009A5E53">
        <w:rPr>
          <w:rFonts w:cs="Arial"/>
          <w:iCs/>
        </w:rPr>
        <w:t>6</w:t>
      </w:r>
      <w:r w:rsidR="00410C9C">
        <w:rPr>
          <w:rFonts w:cs="Arial"/>
          <w:iCs/>
        </w:rPr>
        <w:t>5</w:t>
      </w:r>
      <w:r w:rsidR="006B2FB3">
        <w:rPr>
          <w:rFonts w:cs="Arial"/>
          <w:iCs/>
        </w:rPr>
        <w:t>.</w:t>
      </w:r>
      <w:r w:rsidR="004B0CCB">
        <w:rPr>
          <w:rFonts w:cs="Arial"/>
          <w:iCs/>
        </w:rPr>
        <w:t>166</w:t>
      </w:r>
      <w:r w:rsidR="00164199">
        <w:rPr>
          <w:rFonts w:cs="Arial"/>
          <w:iCs/>
        </w:rPr>
        <w:t>m</w:t>
      </w:r>
      <w:r w:rsidR="006B7848">
        <w:rPr>
          <w:rFonts w:cs="Arial"/>
          <w:iCs/>
        </w:rPr>
        <w:t xml:space="preserve">. </w:t>
      </w:r>
    </w:p>
    <w:p w:rsidR="006B7848" w:rsidRPr="00AC3E22" w:rsidRDefault="006B7848" w:rsidP="00400300">
      <w:pPr>
        <w:pStyle w:val="ListParagraph"/>
        <w:rPr>
          <w:rFonts w:cs="Arial"/>
          <w:iCs/>
        </w:rPr>
      </w:pPr>
    </w:p>
    <w:p w:rsidR="007D0046" w:rsidRPr="00F91DCD" w:rsidRDefault="007D0046" w:rsidP="00957F91">
      <w:pPr>
        <w:pStyle w:val="ListParagraph"/>
        <w:numPr>
          <w:ilvl w:val="0"/>
          <w:numId w:val="114"/>
        </w:numPr>
        <w:ind w:left="709" w:hanging="709"/>
        <w:jc w:val="both"/>
        <w:rPr>
          <w:rFonts w:cs="Arial"/>
        </w:rPr>
      </w:pPr>
      <w:r>
        <w:rPr>
          <w:rFonts w:cs="Arial"/>
          <w:iCs/>
        </w:rPr>
        <w:t>£59.36</w:t>
      </w:r>
      <w:r w:rsidR="00413874">
        <w:rPr>
          <w:rFonts w:cs="Arial"/>
          <w:iCs/>
        </w:rPr>
        <w:t>3</w:t>
      </w:r>
      <w:r>
        <w:rPr>
          <w:rFonts w:cs="Arial"/>
          <w:iCs/>
        </w:rPr>
        <w:t xml:space="preserve">m of the under spend relates to </w:t>
      </w:r>
      <w:r w:rsidR="00AC3E22">
        <w:rPr>
          <w:rFonts w:cs="Arial"/>
          <w:iCs/>
        </w:rPr>
        <w:t xml:space="preserve">a planned </w:t>
      </w:r>
      <w:r w:rsidR="00E1082A">
        <w:rPr>
          <w:rFonts w:cs="Arial"/>
          <w:iCs/>
        </w:rPr>
        <w:t>reduction</w:t>
      </w:r>
      <w:r w:rsidR="00AC3E22">
        <w:rPr>
          <w:rFonts w:cs="Arial"/>
          <w:iCs/>
        </w:rPr>
        <w:t xml:space="preserve"> of the </w:t>
      </w:r>
      <w:r>
        <w:rPr>
          <w:rFonts w:cs="Arial"/>
          <w:iCs/>
        </w:rPr>
        <w:t xml:space="preserve">Regeneration capital programme </w:t>
      </w:r>
      <w:r w:rsidR="006B7848">
        <w:rPr>
          <w:rFonts w:cs="Arial"/>
          <w:iCs/>
        </w:rPr>
        <w:t xml:space="preserve">that was reported to Cabinet </w:t>
      </w:r>
      <w:r>
        <w:rPr>
          <w:rFonts w:cs="Arial"/>
          <w:iCs/>
        </w:rPr>
        <w:t>in December</w:t>
      </w:r>
      <w:r w:rsidR="00AC3E22">
        <w:rPr>
          <w:rFonts w:cs="Arial"/>
          <w:iCs/>
        </w:rPr>
        <w:t xml:space="preserve"> 2018. After allowing for the Regeneration</w:t>
      </w:r>
      <w:r w:rsidR="00E1082A">
        <w:rPr>
          <w:rFonts w:cs="Arial"/>
          <w:iCs/>
        </w:rPr>
        <w:t xml:space="preserve">, the remaining </w:t>
      </w:r>
      <w:r w:rsidR="00AC3E22">
        <w:rPr>
          <w:rFonts w:cs="Arial"/>
          <w:iCs/>
        </w:rPr>
        <w:t xml:space="preserve">underspend </w:t>
      </w:r>
      <w:r w:rsidR="00627806">
        <w:rPr>
          <w:rFonts w:cs="Arial"/>
          <w:iCs/>
        </w:rPr>
        <w:t>of £</w:t>
      </w:r>
      <w:r w:rsidR="00410C9C">
        <w:rPr>
          <w:rFonts w:cs="Arial"/>
          <w:iCs/>
        </w:rPr>
        <w:t>5</w:t>
      </w:r>
      <w:r w:rsidR="00627806">
        <w:rPr>
          <w:rFonts w:cs="Arial"/>
          <w:iCs/>
        </w:rPr>
        <w:t xml:space="preserve">.803m </w:t>
      </w:r>
      <w:r w:rsidR="006B7848">
        <w:rPr>
          <w:rFonts w:cs="Arial"/>
          <w:iCs/>
        </w:rPr>
        <w:t>is attributable to other services</w:t>
      </w:r>
      <w:r w:rsidR="00627806">
        <w:rPr>
          <w:rFonts w:cs="Arial"/>
          <w:iCs/>
        </w:rPr>
        <w:t>.</w:t>
      </w:r>
      <w:r w:rsidR="00410C9C">
        <w:rPr>
          <w:rFonts w:cs="Arial"/>
          <w:iCs/>
        </w:rPr>
        <w:t xml:space="preserve"> £4.603m relates to the HRA and £1.</w:t>
      </w:r>
      <w:r w:rsidR="00F91DCD">
        <w:rPr>
          <w:rFonts w:cs="Arial"/>
          <w:iCs/>
        </w:rPr>
        <w:t>200</w:t>
      </w:r>
      <w:r w:rsidR="00410C9C">
        <w:rPr>
          <w:rFonts w:cs="Arial"/>
          <w:iCs/>
        </w:rPr>
        <w:t>m relates to the General Fund.</w:t>
      </w:r>
    </w:p>
    <w:p w:rsidR="00F91DCD" w:rsidRPr="00F91DCD" w:rsidRDefault="00F91DCD" w:rsidP="00957F91">
      <w:pPr>
        <w:pStyle w:val="ListParagraph"/>
        <w:rPr>
          <w:rFonts w:cs="Arial"/>
        </w:rPr>
      </w:pPr>
    </w:p>
    <w:p w:rsidR="00F91DCD" w:rsidRPr="00615AE1" w:rsidRDefault="00F91DCD" w:rsidP="00957F91">
      <w:pPr>
        <w:pStyle w:val="ListParagraph"/>
        <w:numPr>
          <w:ilvl w:val="0"/>
          <w:numId w:val="114"/>
        </w:numPr>
        <w:ind w:left="709" w:hanging="709"/>
        <w:jc w:val="both"/>
        <w:rPr>
          <w:rFonts w:cs="Arial"/>
        </w:rPr>
      </w:pPr>
      <w:r>
        <w:rPr>
          <w:rFonts w:cs="Arial"/>
          <w:iCs/>
        </w:rPr>
        <w:t>The £1.200</w:t>
      </w:r>
      <w:r w:rsidRPr="00F91DCD">
        <w:rPr>
          <w:rFonts w:cs="Arial"/>
          <w:iCs/>
        </w:rPr>
        <w:t>m underspend on the general fund is after allowing for £1m to be set aside as a Council Wide Capital Budget in 2019/20.  Further detail on the under spends and slippage is explained below.  This net underspend will reduce borrowing costs and be taken into account as part of the 2020/21 budget setting process</w:t>
      </w:r>
      <w:r>
        <w:rPr>
          <w:rFonts w:cs="Arial"/>
          <w:iCs/>
        </w:rPr>
        <w:t>.</w:t>
      </w:r>
    </w:p>
    <w:p w:rsidR="005B4F2E" w:rsidRDefault="0070426A">
      <w:pPr>
        <w:jc w:val="both"/>
        <w:rPr>
          <w:rFonts w:cs="Arial"/>
        </w:rPr>
      </w:pPr>
      <w:r>
        <w:rPr>
          <w:rFonts w:cs="Arial"/>
        </w:rPr>
        <w:t xml:space="preserve">     </w:t>
      </w:r>
    </w:p>
    <w:p w:rsidR="00BD47C5" w:rsidRDefault="00512990" w:rsidP="00957F91">
      <w:pPr>
        <w:ind w:firstLine="720"/>
        <w:jc w:val="both"/>
        <w:rPr>
          <w:rFonts w:cs="Arial"/>
          <w:b/>
          <w:u w:val="single"/>
        </w:rPr>
      </w:pPr>
      <w:r w:rsidRPr="00AA3B74">
        <w:rPr>
          <w:rFonts w:cs="Arial"/>
          <w:b/>
          <w:u w:val="single"/>
        </w:rPr>
        <w:t>Table</w:t>
      </w:r>
      <w:r w:rsidR="001E1F78">
        <w:rPr>
          <w:rFonts w:cs="Arial"/>
          <w:b/>
          <w:u w:val="single"/>
        </w:rPr>
        <w:t xml:space="preserve"> </w:t>
      </w:r>
      <w:r w:rsidR="0017736A">
        <w:rPr>
          <w:rFonts w:cs="Arial"/>
          <w:b/>
          <w:u w:val="single"/>
        </w:rPr>
        <w:t>9</w:t>
      </w:r>
      <w:r w:rsidR="0070426A">
        <w:rPr>
          <w:rFonts w:cs="Arial"/>
          <w:b/>
          <w:u w:val="single"/>
        </w:rPr>
        <w:t xml:space="preserve">: </w:t>
      </w:r>
      <w:r w:rsidR="00BD47C5" w:rsidRPr="00AA3B74">
        <w:rPr>
          <w:rFonts w:cs="Arial"/>
          <w:b/>
          <w:u w:val="single"/>
        </w:rPr>
        <w:t xml:space="preserve"> Summary of Capital Outturn</w:t>
      </w:r>
    </w:p>
    <w:p w:rsidR="00615AE1" w:rsidRPr="00615AE1" w:rsidRDefault="0030486F" w:rsidP="00957F91">
      <w:pPr>
        <w:ind w:left="709"/>
        <w:jc w:val="both"/>
        <w:rPr>
          <w:rFonts w:cs="Arial"/>
        </w:rPr>
      </w:pPr>
      <w:r>
        <w:rPr>
          <w:rFonts w:cs="Arial"/>
          <w:b/>
          <w:u w:val="single"/>
        </w:rPr>
        <w:t xml:space="preserve">  </w:t>
      </w:r>
      <w:r w:rsidR="00615AE1">
        <w:rPr>
          <w:rFonts w:cs="Arial"/>
          <w:b/>
          <w:noProof/>
          <w:u w:val="single"/>
          <w:lang w:eastAsia="en-GB"/>
        </w:rPr>
        <w:drawing>
          <wp:inline distT="0" distB="0" distL="0" distR="0" wp14:anchorId="3EAEA77C" wp14:editId="4D5C0907">
            <wp:extent cx="6120765" cy="19691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969135"/>
                    </a:xfrm>
                    <a:prstGeom prst="rect">
                      <a:avLst/>
                    </a:prstGeom>
                    <a:noFill/>
                  </pic:spPr>
                </pic:pic>
              </a:graphicData>
            </a:graphic>
          </wp:inline>
        </w:drawing>
      </w:r>
      <w:r>
        <w:rPr>
          <w:rFonts w:cs="Arial"/>
          <w:b/>
          <w:u w:val="single"/>
        </w:rPr>
        <w:t xml:space="preserve">   </w:t>
      </w:r>
    </w:p>
    <w:p w:rsidR="00B3085C" w:rsidRPr="00AA3B74" w:rsidRDefault="00B3085C">
      <w:pPr>
        <w:jc w:val="both"/>
        <w:rPr>
          <w:rFonts w:cs="Arial"/>
          <w:b/>
          <w:u w:val="single"/>
        </w:rPr>
      </w:pPr>
    </w:p>
    <w:p w:rsidR="0057289F" w:rsidRPr="0057289F" w:rsidRDefault="00615AE1" w:rsidP="0057289F">
      <w:pPr>
        <w:pStyle w:val="ListParagraph"/>
        <w:numPr>
          <w:ilvl w:val="0"/>
          <w:numId w:val="114"/>
        </w:numPr>
        <w:ind w:left="709" w:hanging="709"/>
        <w:jc w:val="both"/>
        <w:rPr>
          <w:rFonts w:cs="Arial"/>
        </w:rPr>
      </w:pPr>
      <w:r w:rsidRPr="00615AE1">
        <w:rPr>
          <w:rFonts w:cs="Arial"/>
          <w:iCs/>
        </w:rPr>
        <w:t>The slippage identified in Table 1</w:t>
      </w:r>
      <w:r w:rsidR="0017736A">
        <w:rPr>
          <w:rFonts w:cs="Arial"/>
          <w:iCs/>
        </w:rPr>
        <w:t>0</w:t>
      </w:r>
      <w:r w:rsidRPr="00615AE1">
        <w:rPr>
          <w:rFonts w:cs="Arial"/>
          <w:iCs/>
        </w:rPr>
        <w:t xml:space="preserve"> below and detailed in Appendix 6 has been approved under delegated authority as carry forwards by the Chief Finance Officer</w:t>
      </w:r>
      <w:r>
        <w:rPr>
          <w:rFonts w:cs="Arial"/>
          <w:iCs/>
        </w:rPr>
        <w:t>.</w:t>
      </w:r>
    </w:p>
    <w:p w:rsidR="0057289F" w:rsidRDefault="00EC44F3" w:rsidP="00957F91">
      <w:pPr>
        <w:ind w:left="567" w:firstLine="142"/>
        <w:jc w:val="both"/>
        <w:rPr>
          <w:rFonts w:cs="Arial"/>
          <w:b/>
        </w:rPr>
      </w:pPr>
      <w:r>
        <w:rPr>
          <w:rFonts w:cs="Arial"/>
          <w:b/>
        </w:rPr>
        <w:lastRenderedPageBreak/>
        <w:t xml:space="preserve">  </w:t>
      </w:r>
      <w:r w:rsidR="0030092E">
        <w:rPr>
          <w:rFonts w:cs="Arial"/>
          <w:b/>
        </w:rPr>
        <w:t xml:space="preserve">  </w:t>
      </w:r>
    </w:p>
    <w:p w:rsidR="0057289F" w:rsidRDefault="0057289F" w:rsidP="00957F91">
      <w:pPr>
        <w:ind w:left="567" w:firstLine="142"/>
        <w:jc w:val="both"/>
        <w:rPr>
          <w:rFonts w:cs="Arial"/>
          <w:b/>
        </w:rPr>
      </w:pPr>
    </w:p>
    <w:p w:rsidR="0057289F" w:rsidRDefault="0057289F" w:rsidP="00957F91">
      <w:pPr>
        <w:ind w:left="567" w:firstLine="142"/>
        <w:jc w:val="both"/>
        <w:rPr>
          <w:rFonts w:cs="Arial"/>
          <w:b/>
        </w:rPr>
      </w:pPr>
    </w:p>
    <w:p w:rsidR="005E0AB7" w:rsidRDefault="0030092E" w:rsidP="00957F91">
      <w:pPr>
        <w:ind w:left="567" w:firstLine="142"/>
        <w:jc w:val="both"/>
        <w:rPr>
          <w:rFonts w:cs="Arial"/>
          <w:u w:val="single"/>
        </w:rPr>
      </w:pPr>
      <w:r>
        <w:rPr>
          <w:rFonts w:cs="Arial"/>
          <w:b/>
        </w:rPr>
        <w:t xml:space="preserve"> </w:t>
      </w:r>
      <w:r w:rsidR="00164199" w:rsidRPr="008634D5">
        <w:rPr>
          <w:rFonts w:cs="Arial"/>
          <w:b/>
          <w:u w:val="single"/>
        </w:rPr>
        <w:t>Table</w:t>
      </w:r>
      <w:r w:rsidR="002F3525" w:rsidRPr="00400300">
        <w:rPr>
          <w:rFonts w:cs="Arial"/>
          <w:b/>
          <w:u w:val="single"/>
        </w:rPr>
        <w:t xml:space="preserve"> </w:t>
      </w:r>
      <w:r w:rsidR="0017736A">
        <w:rPr>
          <w:rFonts w:cs="Arial"/>
          <w:b/>
          <w:u w:val="single"/>
        </w:rPr>
        <w:t>10</w:t>
      </w:r>
      <w:r w:rsidR="00CE608E" w:rsidRPr="008634D5">
        <w:rPr>
          <w:rFonts w:cs="Arial"/>
          <w:b/>
          <w:u w:val="single"/>
        </w:rPr>
        <w:t>:</w:t>
      </w:r>
      <w:r w:rsidR="00BD47C5" w:rsidRPr="008634D5">
        <w:rPr>
          <w:rFonts w:cs="Arial"/>
          <w:b/>
          <w:u w:val="single"/>
        </w:rPr>
        <w:t xml:space="preserve"> Capital Outturn and Funding 20</w:t>
      </w:r>
      <w:r w:rsidR="00973489" w:rsidRPr="008634D5">
        <w:rPr>
          <w:rFonts w:cs="Arial"/>
          <w:b/>
          <w:u w:val="single"/>
        </w:rPr>
        <w:t>18/19</w:t>
      </w:r>
      <w:r w:rsidR="00BD47C5" w:rsidRPr="008634D5">
        <w:rPr>
          <w:rFonts w:cs="Arial"/>
          <w:u w:val="single"/>
        </w:rPr>
        <w:t xml:space="preserve"> </w:t>
      </w:r>
    </w:p>
    <w:p w:rsidR="00615AE1" w:rsidRDefault="00615AE1" w:rsidP="00957F91">
      <w:pPr>
        <w:ind w:left="567" w:firstLine="142"/>
        <w:jc w:val="both"/>
        <w:rPr>
          <w:rFonts w:cs="Arial"/>
          <w:u w:val="single"/>
        </w:rPr>
      </w:pPr>
      <w:r w:rsidRPr="00957F91">
        <w:rPr>
          <w:rFonts w:cs="Arial"/>
          <w:noProof/>
          <w:lang w:eastAsia="en-GB"/>
        </w:rPr>
        <w:drawing>
          <wp:inline distT="0" distB="0" distL="0" distR="0" wp14:anchorId="0095ABF8" wp14:editId="08F2FD06">
            <wp:extent cx="6120000" cy="6796800"/>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6797650"/>
                    </a:xfrm>
                    <a:prstGeom prst="rect">
                      <a:avLst/>
                    </a:prstGeom>
                    <a:noFill/>
                  </pic:spPr>
                </pic:pic>
              </a:graphicData>
            </a:graphic>
          </wp:inline>
        </w:drawing>
      </w:r>
    </w:p>
    <w:p w:rsidR="00AC2672" w:rsidRPr="00400300" w:rsidRDefault="00AC2672">
      <w:pPr>
        <w:ind w:firstLine="360"/>
        <w:jc w:val="both"/>
        <w:rPr>
          <w:rFonts w:cs="Arial"/>
          <w:highlight w:val="yellow"/>
          <w:u w:val="single"/>
        </w:rPr>
      </w:pPr>
    </w:p>
    <w:p w:rsidR="00E11E6A" w:rsidRDefault="00512990" w:rsidP="00957F91">
      <w:pPr>
        <w:pStyle w:val="ListParagraph"/>
        <w:ind w:left="360" w:right="304"/>
        <w:jc w:val="both"/>
        <w:rPr>
          <w:rFonts w:cs="Arial"/>
          <w:b/>
          <w:szCs w:val="24"/>
        </w:rPr>
      </w:pPr>
      <w:r>
        <w:rPr>
          <w:rFonts w:cs="Arial"/>
        </w:rPr>
        <w:t xml:space="preserve"> </w:t>
      </w:r>
    </w:p>
    <w:p w:rsidR="00BD47C5" w:rsidRDefault="001F67BC" w:rsidP="00957F91">
      <w:pPr>
        <w:tabs>
          <w:tab w:val="left" w:pos="525"/>
          <w:tab w:val="left" w:pos="567"/>
        </w:tabs>
        <w:ind w:left="709" w:right="304"/>
        <w:jc w:val="both"/>
        <w:rPr>
          <w:rFonts w:cs="Arial"/>
          <w:b/>
          <w:szCs w:val="24"/>
        </w:rPr>
      </w:pPr>
      <w:r w:rsidRPr="001F67BC">
        <w:rPr>
          <w:rFonts w:cs="Arial"/>
          <w:b/>
          <w:szCs w:val="24"/>
        </w:rPr>
        <w:t xml:space="preserve">DIRECTORATE PERFORMANCE ON CAPITAL </w:t>
      </w:r>
      <w:r w:rsidR="00BD47C5">
        <w:rPr>
          <w:rFonts w:cs="Arial"/>
          <w:b/>
          <w:szCs w:val="24"/>
        </w:rPr>
        <w:tab/>
      </w:r>
    </w:p>
    <w:p w:rsidR="00BD47C5" w:rsidRPr="00B204B7" w:rsidRDefault="00BD47C5">
      <w:pPr>
        <w:ind w:left="14" w:right="304"/>
        <w:jc w:val="both"/>
        <w:rPr>
          <w:rFonts w:cs="Arial"/>
          <w:b/>
          <w:szCs w:val="24"/>
        </w:rPr>
      </w:pPr>
    </w:p>
    <w:p w:rsidR="00BD47C5" w:rsidRPr="000A566F" w:rsidRDefault="00BD47C5" w:rsidP="00957F91">
      <w:pPr>
        <w:pStyle w:val="ListParagraph"/>
        <w:numPr>
          <w:ilvl w:val="0"/>
          <w:numId w:val="114"/>
        </w:numPr>
        <w:ind w:left="709" w:right="304" w:hanging="709"/>
        <w:jc w:val="both"/>
        <w:rPr>
          <w:rFonts w:cs="Arial"/>
          <w:szCs w:val="24"/>
        </w:rPr>
      </w:pPr>
      <w:r w:rsidRPr="00281EA0">
        <w:rPr>
          <w:rFonts w:cs="Arial"/>
          <w:szCs w:val="24"/>
        </w:rPr>
        <w:t>The cap</w:t>
      </w:r>
      <w:r w:rsidRPr="004160E4">
        <w:rPr>
          <w:rFonts w:cs="Arial"/>
          <w:szCs w:val="24"/>
        </w:rPr>
        <w:t xml:space="preserve">ital </w:t>
      </w:r>
      <w:r w:rsidRPr="00281EA0">
        <w:rPr>
          <w:rFonts w:cs="Arial"/>
          <w:iCs/>
        </w:rPr>
        <w:t xml:space="preserve">programme by directorate is included </w:t>
      </w:r>
      <w:r w:rsidR="007B1C2D">
        <w:rPr>
          <w:rFonts w:cs="Arial"/>
          <w:iCs/>
        </w:rPr>
        <w:t>in</w:t>
      </w:r>
      <w:r w:rsidRPr="00281EA0">
        <w:rPr>
          <w:rFonts w:cs="Arial"/>
          <w:iCs/>
        </w:rPr>
        <w:t xml:space="preserve"> Appendix </w:t>
      </w:r>
      <w:r w:rsidR="00724573">
        <w:rPr>
          <w:rFonts w:cs="Arial"/>
          <w:iCs/>
        </w:rPr>
        <w:t>6</w:t>
      </w:r>
      <w:r w:rsidRPr="004160E4">
        <w:rPr>
          <w:rFonts w:cs="Arial"/>
          <w:iCs/>
        </w:rPr>
        <w:t xml:space="preserve"> showing performance against the latest approved budget for each programme line.  Set out below is narrative to explain the capital outturn and the major variances:</w:t>
      </w:r>
      <w:r w:rsidRPr="000A566F">
        <w:rPr>
          <w:rFonts w:cs="Arial"/>
          <w:szCs w:val="24"/>
        </w:rPr>
        <w:t xml:space="preserve"> </w:t>
      </w:r>
    </w:p>
    <w:p w:rsidR="00E97D7A" w:rsidRDefault="00E97D7A">
      <w:pPr>
        <w:ind w:left="14" w:right="304" w:firstLine="488"/>
        <w:jc w:val="both"/>
        <w:rPr>
          <w:rFonts w:cs="Arial"/>
          <w:b/>
          <w:szCs w:val="24"/>
        </w:rPr>
      </w:pPr>
    </w:p>
    <w:p w:rsidR="00E43450" w:rsidRDefault="00E43450">
      <w:pPr>
        <w:ind w:left="14" w:right="304" w:firstLine="488"/>
        <w:jc w:val="both"/>
        <w:rPr>
          <w:rFonts w:cs="Arial"/>
          <w:b/>
          <w:szCs w:val="24"/>
        </w:rPr>
      </w:pPr>
    </w:p>
    <w:p w:rsidR="0017736A" w:rsidRDefault="0017736A">
      <w:pPr>
        <w:ind w:left="14" w:right="304" w:firstLine="488"/>
        <w:jc w:val="both"/>
        <w:rPr>
          <w:rFonts w:cs="Arial"/>
          <w:b/>
          <w:szCs w:val="24"/>
        </w:rPr>
      </w:pPr>
    </w:p>
    <w:p w:rsidR="0017736A" w:rsidRDefault="0017736A">
      <w:pPr>
        <w:ind w:left="14" w:right="304" w:firstLine="488"/>
        <w:jc w:val="both"/>
        <w:rPr>
          <w:rFonts w:cs="Arial"/>
          <w:b/>
          <w:szCs w:val="24"/>
        </w:rPr>
      </w:pPr>
    </w:p>
    <w:p w:rsidR="0017736A" w:rsidRDefault="0017736A">
      <w:pPr>
        <w:ind w:left="14" w:right="304" w:firstLine="488"/>
        <w:jc w:val="both"/>
        <w:rPr>
          <w:rFonts w:cs="Arial"/>
          <w:b/>
          <w:szCs w:val="24"/>
        </w:rPr>
      </w:pPr>
    </w:p>
    <w:p w:rsidR="00E43450" w:rsidRDefault="00E43450">
      <w:pPr>
        <w:ind w:left="14" w:right="304" w:firstLine="488"/>
        <w:jc w:val="both"/>
        <w:rPr>
          <w:rFonts w:cs="Arial"/>
          <w:b/>
          <w:szCs w:val="24"/>
        </w:rPr>
      </w:pPr>
    </w:p>
    <w:p w:rsidR="00BD47C5" w:rsidRDefault="00151AAB" w:rsidP="00957F91">
      <w:pPr>
        <w:ind w:left="14" w:right="304" w:firstLine="695"/>
        <w:jc w:val="both"/>
        <w:rPr>
          <w:rFonts w:cs="Arial"/>
          <w:b/>
          <w:szCs w:val="24"/>
        </w:rPr>
      </w:pPr>
      <w:r>
        <w:rPr>
          <w:rFonts w:cs="Arial"/>
          <w:b/>
          <w:szCs w:val="24"/>
        </w:rPr>
        <w:lastRenderedPageBreak/>
        <w:t>Resources</w:t>
      </w:r>
    </w:p>
    <w:p w:rsidR="00B25E8F" w:rsidRDefault="00B25E8F">
      <w:pPr>
        <w:ind w:left="14" w:right="304" w:firstLine="488"/>
        <w:jc w:val="both"/>
        <w:rPr>
          <w:rFonts w:cs="Arial"/>
          <w:b/>
          <w:szCs w:val="24"/>
        </w:rPr>
      </w:pPr>
    </w:p>
    <w:p w:rsidR="00BD47C5" w:rsidRPr="004E7384" w:rsidRDefault="00BD47C5" w:rsidP="00957F91">
      <w:pPr>
        <w:pStyle w:val="ListParagraph"/>
        <w:numPr>
          <w:ilvl w:val="0"/>
          <w:numId w:val="114"/>
        </w:numPr>
        <w:ind w:left="709" w:right="304" w:hanging="709"/>
        <w:jc w:val="both"/>
        <w:rPr>
          <w:rFonts w:cs="Arial"/>
          <w:szCs w:val="24"/>
        </w:rPr>
      </w:pPr>
      <w:r w:rsidRPr="00FC6115">
        <w:rPr>
          <w:rFonts w:cs="Arial"/>
          <w:szCs w:val="24"/>
        </w:rPr>
        <w:t>The directorate spent £9.</w:t>
      </w:r>
      <w:r w:rsidR="009A5E53">
        <w:rPr>
          <w:rFonts w:cs="Arial"/>
          <w:szCs w:val="24"/>
        </w:rPr>
        <w:t>802</w:t>
      </w:r>
      <w:r w:rsidRPr="00FC6115">
        <w:rPr>
          <w:rFonts w:cs="Arial"/>
          <w:szCs w:val="24"/>
        </w:rPr>
        <w:t>m against a b</w:t>
      </w:r>
      <w:r w:rsidR="00D74868">
        <w:rPr>
          <w:rFonts w:cs="Arial"/>
          <w:szCs w:val="24"/>
        </w:rPr>
        <w:t>udget of £2</w:t>
      </w:r>
      <w:r w:rsidR="009A5E53">
        <w:rPr>
          <w:rFonts w:cs="Arial"/>
          <w:szCs w:val="24"/>
        </w:rPr>
        <w:t>0.180</w:t>
      </w:r>
      <w:r w:rsidR="00D74868">
        <w:rPr>
          <w:rFonts w:cs="Arial"/>
          <w:szCs w:val="24"/>
        </w:rPr>
        <w:t xml:space="preserve">m, a </w:t>
      </w:r>
      <w:r w:rsidR="009A5E53">
        <w:rPr>
          <w:rFonts w:cs="Arial"/>
          <w:szCs w:val="24"/>
        </w:rPr>
        <w:t>49</w:t>
      </w:r>
      <w:r w:rsidR="00D74868">
        <w:rPr>
          <w:rFonts w:cs="Arial"/>
          <w:szCs w:val="24"/>
        </w:rPr>
        <w:t>% spend and a variance of</w:t>
      </w:r>
      <w:r w:rsidRPr="00FC6115">
        <w:rPr>
          <w:rFonts w:cs="Arial"/>
          <w:szCs w:val="24"/>
        </w:rPr>
        <w:t xml:space="preserve"> £1</w:t>
      </w:r>
      <w:r w:rsidR="009A5E53">
        <w:rPr>
          <w:rFonts w:cs="Arial"/>
          <w:szCs w:val="24"/>
        </w:rPr>
        <w:t>0.378</w:t>
      </w:r>
      <w:r w:rsidRPr="00FC6115">
        <w:rPr>
          <w:rFonts w:cs="Arial"/>
          <w:szCs w:val="24"/>
        </w:rPr>
        <w:t>m</w:t>
      </w:r>
      <w:r w:rsidR="00ED3B56">
        <w:rPr>
          <w:rFonts w:cs="Arial"/>
          <w:szCs w:val="24"/>
        </w:rPr>
        <w:t xml:space="preserve"> which </w:t>
      </w:r>
      <w:r w:rsidRPr="00FC6115">
        <w:rPr>
          <w:rFonts w:cs="Arial"/>
          <w:szCs w:val="24"/>
        </w:rPr>
        <w:t xml:space="preserve">will </w:t>
      </w:r>
      <w:r w:rsidR="00ED3B56">
        <w:rPr>
          <w:rFonts w:cs="Arial"/>
          <w:szCs w:val="24"/>
        </w:rPr>
        <w:t xml:space="preserve">all </w:t>
      </w:r>
      <w:r w:rsidRPr="00FC6115">
        <w:rPr>
          <w:rFonts w:cs="Arial"/>
          <w:szCs w:val="24"/>
        </w:rPr>
        <w:t>be slipped to 2019</w:t>
      </w:r>
      <w:r w:rsidR="00ED3B56">
        <w:rPr>
          <w:rFonts w:cs="Arial"/>
          <w:szCs w:val="24"/>
        </w:rPr>
        <w:t>/20.</w:t>
      </w:r>
      <w:r w:rsidRPr="00FC6115">
        <w:rPr>
          <w:rFonts w:cs="Arial"/>
          <w:szCs w:val="24"/>
        </w:rPr>
        <w:t xml:space="preserve"> </w:t>
      </w:r>
      <w:r w:rsidR="00C20BBF">
        <w:rPr>
          <w:rFonts w:cs="Arial"/>
          <w:szCs w:val="24"/>
        </w:rPr>
        <w:t xml:space="preserve">There are no revenue implications as a result of this slippage. </w:t>
      </w:r>
      <w:r w:rsidRPr="004E7384" w:rsidDel="0094479D">
        <w:rPr>
          <w:rFonts w:cs="Arial"/>
          <w:szCs w:val="24"/>
        </w:rPr>
        <w:t xml:space="preserve"> </w:t>
      </w:r>
      <w:r w:rsidR="00C20BBF" w:rsidRPr="00C20BBF">
        <w:rPr>
          <w:rFonts w:cs="Arial"/>
          <w:szCs w:val="24"/>
        </w:rPr>
        <w:t>The key reasons for slippage are listed below</w:t>
      </w:r>
      <w:r w:rsidR="00E1082A">
        <w:rPr>
          <w:rFonts w:cs="Arial"/>
          <w:szCs w:val="24"/>
        </w:rPr>
        <w:t>:</w:t>
      </w:r>
    </w:p>
    <w:p w:rsidR="00BD47C5" w:rsidRDefault="00BD47C5">
      <w:pPr>
        <w:pStyle w:val="ListParagraph"/>
        <w:ind w:left="374" w:right="304"/>
        <w:jc w:val="both"/>
        <w:rPr>
          <w:rFonts w:cs="Arial"/>
          <w:szCs w:val="24"/>
          <w:highlight w:val="yellow"/>
        </w:rPr>
      </w:pPr>
    </w:p>
    <w:p w:rsidR="004A59F9" w:rsidRDefault="007A0FA5" w:rsidP="00957F91">
      <w:pPr>
        <w:pStyle w:val="ListParagraph"/>
        <w:numPr>
          <w:ilvl w:val="0"/>
          <w:numId w:val="156"/>
        </w:numPr>
        <w:ind w:left="1134" w:right="304" w:hanging="425"/>
        <w:jc w:val="both"/>
        <w:rPr>
          <w:rFonts w:cs="Arial"/>
          <w:szCs w:val="24"/>
        </w:rPr>
      </w:pPr>
      <w:r>
        <w:rPr>
          <w:rFonts w:cs="Arial"/>
          <w:szCs w:val="24"/>
        </w:rPr>
        <w:t>Dev</w:t>
      </w:r>
      <w:r w:rsidR="004A59F9">
        <w:rPr>
          <w:rFonts w:cs="Arial"/>
          <w:szCs w:val="24"/>
        </w:rPr>
        <w:t xml:space="preserve">olved Application </w:t>
      </w:r>
      <w:r w:rsidR="00F91DCD">
        <w:rPr>
          <w:rFonts w:cs="Arial"/>
          <w:szCs w:val="24"/>
        </w:rPr>
        <w:t>(</w:t>
      </w:r>
      <w:r w:rsidR="004A59F9">
        <w:rPr>
          <w:rFonts w:cs="Arial"/>
          <w:szCs w:val="24"/>
        </w:rPr>
        <w:t>£2.315m</w:t>
      </w:r>
      <w:r w:rsidR="00F91DCD">
        <w:rPr>
          <w:rFonts w:cs="Arial"/>
          <w:szCs w:val="24"/>
        </w:rPr>
        <w:t>)</w:t>
      </w:r>
      <w:r w:rsidR="004A59F9">
        <w:rPr>
          <w:rFonts w:cs="Arial"/>
          <w:szCs w:val="24"/>
        </w:rPr>
        <w:t xml:space="preserve"> expenditure has been re-profiled to better reflect millstone delivery. The bulk of the work will be delivered in 2019/20</w:t>
      </w:r>
      <w:r w:rsidR="00E1082A">
        <w:rPr>
          <w:rFonts w:cs="Arial"/>
          <w:szCs w:val="24"/>
        </w:rPr>
        <w:t>.</w:t>
      </w:r>
    </w:p>
    <w:p w:rsidR="0070426A" w:rsidRDefault="0070426A">
      <w:pPr>
        <w:pStyle w:val="ListParagraph"/>
        <w:ind w:left="993" w:right="304"/>
        <w:jc w:val="both"/>
        <w:rPr>
          <w:rFonts w:cs="Arial"/>
          <w:szCs w:val="24"/>
        </w:rPr>
      </w:pPr>
    </w:p>
    <w:p w:rsidR="004A59F9" w:rsidRDefault="0070426A" w:rsidP="00957F91">
      <w:pPr>
        <w:pStyle w:val="ListParagraph"/>
        <w:numPr>
          <w:ilvl w:val="0"/>
          <w:numId w:val="133"/>
        </w:numPr>
        <w:ind w:left="1134" w:right="304" w:hanging="425"/>
        <w:jc w:val="both"/>
        <w:rPr>
          <w:rFonts w:cs="Arial"/>
          <w:szCs w:val="24"/>
        </w:rPr>
      </w:pPr>
      <w:r w:rsidRPr="0070426A">
        <w:rPr>
          <w:rFonts w:cs="Arial"/>
          <w:szCs w:val="24"/>
        </w:rPr>
        <w:t>The on-going refresh and enhancement of ICT (£3.</w:t>
      </w:r>
      <w:r w:rsidR="004A59F9">
        <w:rPr>
          <w:rFonts w:cs="Arial"/>
          <w:szCs w:val="24"/>
        </w:rPr>
        <w:t>607</w:t>
      </w:r>
      <w:r w:rsidRPr="0070426A">
        <w:rPr>
          <w:rFonts w:cs="Arial"/>
          <w:szCs w:val="24"/>
        </w:rPr>
        <w:t>m),</w:t>
      </w:r>
      <w:r w:rsidR="004A59F9">
        <w:rPr>
          <w:rFonts w:cs="Arial"/>
          <w:szCs w:val="24"/>
        </w:rPr>
        <w:t xml:space="preserve"> the expenditure has been re-profiled to reflect delays in commissioning piece of work through 2018/19. The project must be delivered by 2019/20</w:t>
      </w:r>
      <w:r w:rsidR="00E1082A">
        <w:rPr>
          <w:rFonts w:cs="Arial"/>
          <w:szCs w:val="24"/>
        </w:rPr>
        <w:t>.</w:t>
      </w:r>
    </w:p>
    <w:p w:rsidR="006B2FB3" w:rsidRDefault="006B2FB3" w:rsidP="00400300">
      <w:pPr>
        <w:pStyle w:val="ListParagraph"/>
        <w:ind w:left="993" w:right="304"/>
        <w:jc w:val="both"/>
        <w:rPr>
          <w:rFonts w:cs="Arial"/>
          <w:szCs w:val="24"/>
        </w:rPr>
      </w:pPr>
    </w:p>
    <w:p w:rsidR="004A59F9" w:rsidRDefault="004A59F9" w:rsidP="00957F91">
      <w:pPr>
        <w:pStyle w:val="ListParagraph"/>
        <w:numPr>
          <w:ilvl w:val="0"/>
          <w:numId w:val="133"/>
        </w:numPr>
        <w:ind w:left="1134" w:right="304" w:hanging="425"/>
        <w:jc w:val="both"/>
        <w:rPr>
          <w:rFonts w:cs="Arial"/>
          <w:szCs w:val="24"/>
        </w:rPr>
      </w:pPr>
      <w:r>
        <w:rPr>
          <w:rFonts w:cs="Arial"/>
          <w:szCs w:val="24"/>
        </w:rPr>
        <w:t xml:space="preserve">ABAVUS </w:t>
      </w:r>
      <w:r w:rsidR="00413874">
        <w:rPr>
          <w:rFonts w:cs="Arial"/>
          <w:szCs w:val="24"/>
        </w:rPr>
        <w:t>(</w:t>
      </w:r>
      <w:r>
        <w:rPr>
          <w:rFonts w:cs="Arial"/>
          <w:szCs w:val="24"/>
        </w:rPr>
        <w:t>£1.099m</w:t>
      </w:r>
      <w:r w:rsidR="00413874">
        <w:rPr>
          <w:rFonts w:cs="Arial"/>
          <w:szCs w:val="24"/>
        </w:rPr>
        <w:t>)</w:t>
      </w:r>
      <w:r>
        <w:rPr>
          <w:rFonts w:cs="Arial"/>
          <w:szCs w:val="24"/>
        </w:rPr>
        <w:t>, the slippage reflect</w:t>
      </w:r>
      <w:r w:rsidR="003B516F">
        <w:rPr>
          <w:rFonts w:cs="Arial"/>
          <w:szCs w:val="24"/>
        </w:rPr>
        <w:t>s</w:t>
      </w:r>
      <w:r>
        <w:rPr>
          <w:rFonts w:cs="Arial"/>
          <w:szCs w:val="24"/>
        </w:rPr>
        <w:t xml:space="preserve"> planned expenditure in the second year (2019/20) of project delivery.</w:t>
      </w:r>
    </w:p>
    <w:p w:rsidR="004A59F9" w:rsidRDefault="004A59F9" w:rsidP="00400300">
      <w:pPr>
        <w:pStyle w:val="ListParagraph"/>
        <w:ind w:left="993" w:right="304"/>
        <w:jc w:val="both"/>
        <w:rPr>
          <w:rFonts w:cs="Arial"/>
          <w:szCs w:val="24"/>
        </w:rPr>
      </w:pPr>
    </w:p>
    <w:p w:rsidR="004A59F9" w:rsidRDefault="0070426A" w:rsidP="00957F91">
      <w:pPr>
        <w:pStyle w:val="ListParagraph"/>
        <w:numPr>
          <w:ilvl w:val="0"/>
          <w:numId w:val="133"/>
        </w:numPr>
        <w:ind w:left="1134" w:right="304" w:hanging="425"/>
        <w:jc w:val="both"/>
        <w:rPr>
          <w:rFonts w:cs="Arial"/>
          <w:szCs w:val="24"/>
        </w:rPr>
      </w:pPr>
      <w:r w:rsidRPr="0070426A">
        <w:rPr>
          <w:rFonts w:cs="Arial"/>
          <w:szCs w:val="24"/>
        </w:rPr>
        <w:t xml:space="preserve"> SAP financial Ledger and System Control (£0.5</w:t>
      </w:r>
      <w:r w:rsidR="004A59F9">
        <w:rPr>
          <w:rFonts w:cs="Arial"/>
          <w:szCs w:val="24"/>
        </w:rPr>
        <w:t>72</w:t>
      </w:r>
      <w:r w:rsidRPr="0070426A">
        <w:rPr>
          <w:rFonts w:cs="Arial"/>
          <w:szCs w:val="24"/>
        </w:rPr>
        <w:t>m)</w:t>
      </w:r>
      <w:r w:rsidR="004A59F9">
        <w:rPr>
          <w:rFonts w:cs="Arial"/>
          <w:szCs w:val="24"/>
        </w:rPr>
        <w:t xml:space="preserve"> will be slipped into 2019/20 </w:t>
      </w:r>
      <w:r w:rsidR="003B516F">
        <w:rPr>
          <w:rFonts w:cs="Arial"/>
          <w:szCs w:val="24"/>
        </w:rPr>
        <w:t>in relation to the project to replace the current Enterprise Resource and Planning (ERP) system in 2019/20.</w:t>
      </w:r>
    </w:p>
    <w:p w:rsidR="00D23E7D" w:rsidRPr="00284856" w:rsidRDefault="00D23E7D" w:rsidP="00400300">
      <w:pPr>
        <w:pStyle w:val="ListParagraph"/>
        <w:jc w:val="both"/>
        <w:rPr>
          <w:rFonts w:cs="Arial"/>
          <w:szCs w:val="24"/>
        </w:rPr>
      </w:pPr>
    </w:p>
    <w:p w:rsidR="00D23E7D" w:rsidRDefault="00D23E7D" w:rsidP="00957F91">
      <w:pPr>
        <w:pStyle w:val="ListParagraph"/>
        <w:numPr>
          <w:ilvl w:val="0"/>
          <w:numId w:val="133"/>
        </w:numPr>
        <w:ind w:left="1134" w:right="304" w:hanging="425"/>
        <w:jc w:val="both"/>
        <w:rPr>
          <w:rFonts w:cs="Arial"/>
          <w:szCs w:val="24"/>
        </w:rPr>
      </w:pPr>
      <w:r>
        <w:rPr>
          <w:rFonts w:cs="Arial"/>
          <w:szCs w:val="24"/>
        </w:rPr>
        <w:t>Other Council Wide under</w:t>
      </w:r>
      <w:r w:rsidR="00281849">
        <w:rPr>
          <w:rFonts w:cs="Arial"/>
          <w:szCs w:val="24"/>
        </w:rPr>
        <w:t xml:space="preserve"> </w:t>
      </w:r>
      <w:r>
        <w:rPr>
          <w:rFonts w:cs="Arial"/>
          <w:szCs w:val="24"/>
        </w:rPr>
        <w:t>spend (£1.9m) will be slipped into 2019/20.</w:t>
      </w:r>
    </w:p>
    <w:p w:rsidR="004A59F9" w:rsidRPr="00C426AD" w:rsidRDefault="004A59F9" w:rsidP="00400300">
      <w:pPr>
        <w:pStyle w:val="ListParagraph"/>
        <w:jc w:val="both"/>
        <w:rPr>
          <w:rFonts w:cs="Arial"/>
          <w:szCs w:val="24"/>
        </w:rPr>
      </w:pPr>
    </w:p>
    <w:p w:rsidR="004A59F9" w:rsidRDefault="004A59F9" w:rsidP="00957F91">
      <w:pPr>
        <w:pStyle w:val="ListParagraph"/>
        <w:numPr>
          <w:ilvl w:val="0"/>
          <w:numId w:val="133"/>
        </w:numPr>
        <w:ind w:left="1134" w:right="304" w:hanging="425"/>
        <w:jc w:val="both"/>
        <w:rPr>
          <w:rFonts w:cs="Arial"/>
          <w:szCs w:val="24"/>
        </w:rPr>
      </w:pPr>
      <w:r>
        <w:rPr>
          <w:rFonts w:cs="Arial"/>
          <w:szCs w:val="24"/>
        </w:rPr>
        <w:t>The remainder relates to numbers of smaller amounts which will be used to complete projects in 2019/20.</w:t>
      </w:r>
    </w:p>
    <w:p w:rsidR="00BD47C5" w:rsidRDefault="00BD47C5">
      <w:pPr>
        <w:pStyle w:val="ListParagraph"/>
        <w:ind w:left="502" w:right="304"/>
        <w:jc w:val="both"/>
        <w:rPr>
          <w:rFonts w:cs="Arial"/>
          <w:szCs w:val="24"/>
        </w:rPr>
      </w:pPr>
    </w:p>
    <w:p w:rsidR="00B966FB" w:rsidRPr="006F766E" w:rsidRDefault="00B966FB">
      <w:pPr>
        <w:pStyle w:val="ListParagraph"/>
        <w:ind w:left="502" w:right="304"/>
        <w:jc w:val="both"/>
        <w:rPr>
          <w:rFonts w:cs="Arial"/>
          <w:szCs w:val="24"/>
        </w:rPr>
      </w:pPr>
    </w:p>
    <w:p w:rsidR="00F273F6" w:rsidRPr="00F401B9" w:rsidRDefault="00151AAB" w:rsidP="00957F91">
      <w:pPr>
        <w:ind w:right="304" w:firstLine="709"/>
        <w:jc w:val="both"/>
        <w:rPr>
          <w:rFonts w:cs="Arial"/>
          <w:b/>
          <w:szCs w:val="24"/>
        </w:rPr>
      </w:pPr>
      <w:r w:rsidRPr="00F401B9">
        <w:rPr>
          <w:rFonts w:cs="Arial"/>
          <w:b/>
          <w:szCs w:val="24"/>
        </w:rPr>
        <w:t xml:space="preserve">Community </w:t>
      </w:r>
    </w:p>
    <w:p w:rsidR="00B25E8F" w:rsidRPr="00F401B9" w:rsidRDefault="00B25E8F">
      <w:pPr>
        <w:ind w:left="14" w:right="304" w:firstLine="488"/>
        <w:jc w:val="both"/>
        <w:rPr>
          <w:rFonts w:cs="Arial"/>
          <w:b/>
          <w:szCs w:val="24"/>
        </w:rPr>
      </w:pPr>
    </w:p>
    <w:p w:rsidR="005C3494" w:rsidRPr="00284856" w:rsidRDefault="003D2716" w:rsidP="00957F91">
      <w:pPr>
        <w:pStyle w:val="ListParagraph"/>
        <w:numPr>
          <w:ilvl w:val="0"/>
          <w:numId w:val="114"/>
        </w:numPr>
        <w:ind w:left="709" w:right="285" w:hanging="774"/>
        <w:jc w:val="both"/>
        <w:rPr>
          <w:rFonts w:cs="Arial"/>
        </w:rPr>
      </w:pPr>
      <w:r w:rsidRPr="00F401B9">
        <w:rPr>
          <w:rFonts w:cs="Arial"/>
          <w:szCs w:val="24"/>
        </w:rPr>
        <w:t>The net position</w:t>
      </w:r>
      <w:r w:rsidR="00F273F6" w:rsidRPr="00F401B9">
        <w:rPr>
          <w:rFonts w:cs="Arial"/>
          <w:szCs w:val="24"/>
        </w:rPr>
        <w:t xml:space="preserve"> for the Community Directorate is an outturn of £3</w:t>
      </w:r>
      <w:r w:rsidR="00D23E7D" w:rsidRPr="00400300">
        <w:rPr>
          <w:rFonts w:cs="Arial"/>
          <w:szCs w:val="24"/>
        </w:rPr>
        <w:t>5.</w:t>
      </w:r>
      <w:r w:rsidR="00B511CC">
        <w:rPr>
          <w:rFonts w:cs="Arial"/>
          <w:szCs w:val="24"/>
        </w:rPr>
        <w:t>198</w:t>
      </w:r>
      <w:r w:rsidR="00F273F6" w:rsidRPr="00F401B9">
        <w:rPr>
          <w:rFonts w:cs="Arial"/>
          <w:szCs w:val="24"/>
        </w:rPr>
        <w:t>m against the budget of £</w:t>
      </w:r>
      <w:r w:rsidR="00ED3B56" w:rsidRPr="00F401B9">
        <w:rPr>
          <w:rFonts w:cs="Arial"/>
          <w:szCs w:val="24"/>
        </w:rPr>
        <w:t>149.1</w:t>
      </w:r>
      <w:r w:rsidR="00F91DCD">
        <w:rPr>
          <w:rFonts w:cs="Arial"/>
          <w:szCs w:val="24"/>
        </w:rPr>
        <w:t>60</w:t>
      </w:r>
      <w:r w:rsidR="00F273F6" w:rsidRPr="00F401B9">
        <w:rPr>
          <w:rFonts w:cs="Arial"/>
          <w:szCs w:val="24"/>
        </w:rPr>
        <w:t xml:space="preserve">m, a </w:t>
      </w:r>
      <w:r w:rsidR="00ED3B56" w:rsidRPr="00F401B9">
        <w:rPr>
          <w:rFonts w:cs="Arial"/>
          <w:szCs w:val="24"/>
        </w:rPr>
        <w:t>24</w:t>
      </w:r>
      <w:r w:rsidR="00F273F6" w:rsidRPr="00F401B9">
        <w:rPr>
          <w:rFonts w:cs="Arial"/>
          <w:szCs w:val="24"/>
        </w:rPr>
        <w:t>% spend. The variance is £1</w:t>
      </w:r>
      <w:r w:rsidR="00ED3B56" w:rsidRPr="00F401B9">
        <w:rPr>
          <w:rFonts w:cs="Arial"/>
          <w:szCs w:val="24"/>
        </w:rPr>
        <w:t>1</w:t>
      </w:r>
      <w:r w:rsidR="00D23E7D" w:rsidRPr="00400300">
        <w:rPr>
          <w:rFonts w:cs="Arial"/>
          <w:szCs w:val="24"/>
        </w:rPr>
        <w:t>3.</w:t>
      </w:r>
      <w:r w:rsidR="00B511CC">
        <w:rPr>
          <w:rFonts w:cs="Arial"/>
          <w:szCs w:val="24"/>
        </w:rPr>
        <w:t>962</w:t>
      </w:r>
      <w:r w:rsidR="00F273F6" w:rsidRPr="00F401B9">
        <w:rPr>
          <w:rFonts w:cs="Arial"/>
          <w:szCs w:val="24"/>
        </w:rPr>
        <w:t>m</w:t>
      </w:r>
      <w:r w:rsidR="00ED3B56" w:rsidRPr="00F401B9">
        <w:rPr>
          <w:rFonts w:cs="Arial"/>
          <w:szCs w:val="24"/>
        </w:rPr>
        <w:t>, £53.</w:t>
      </w:r>
      <w:r w:rsidR="00D23E7D" w:rsidRPr="00400300">
        <w:rPr>
          <w:rFonts w:cs="Arial"/>
          <w:szCs w:val="24"/>
        </w:rPr>
        <w:t>541</w:t>
      </w:r>
      <w:r w:rsidR="00ED3B56" w:rsidRPr="00F401B9">
        <w:rPr>
          <w:rFonts w:cs="Arial"/>
          <w:szCs w:val="24"/>
        </w:rPr>
        <w:t>m wil</w:t>
      </w:r>
      <w:r w:rsidR="00A64B60" w:rsidRPr="00F401B9">
        <w:rPr>
          <w:rFonts w:cs="Arial"/>
          <w:szCs w:val="24"/>
        </w:rPr>
        <w:t xml:space="preserve">l be slipped </w:t>
      </w:r>
      <w:r w:rsidR="00ED3B56" w:rsidRPr="00F401B9">
        <w:rPr>
          <w:rFonts w:cs="Arial"/>
          <w:szCs w:val="24"/>
        </w:rPr>
        <w:t xml:space="preserve">to 2019/20 while </w:t>
      </w:r>
      <w:r w:rsidR="00A64B60" w:rsidRPr="00F401B9">
        <w:rPr>
          <w:rFonts w:cs="Arial"/>
          <w:szCs w:val="24"/>
        </w:rPr>
        <w:t>£60.</w:t>
      </w:r>
      <w:r w:rsidR="00B511CC">
        <w:rPr>
          <w:rFonts w:cs="Arial"/>
          <w:szCs w:val="24"/>
        </w:rPr>
        <w:t>42</w:t>
      </w:r>
      <w:r w:rsidR="00BD615B">
        <w:rPr>
          <w:rFonts w:cs="Arial"/>
          <w:szCs w:val="24"/>
        </w:rPr>
        <w:t>1</w:t>
      </w:r>
      <w:r w:rsidR="00A64B60" w:rsidRPr="00F401B9">
        <w:rPr>
          <w:rFonts w:cs="Arial"/>
          <w:szCs w:val="24"/>
        </w:rPr>
        <w:t>m which relates mai</w:t>
      </w:r>
      <w:r w:rsidR="00D23E7D" w:rsidRPr="00400300">
        <w:rPr>
          <w:rFonts w:cs="Arial"/>
          <w:szCs w:val="24"/>
        </w:rPr>
        <w:t>nly</w:t>
      </w:r>
      <w:r w:rsidR="00ED3B56" w:rsidRPr="00F401B9">
        <w:rPr>
          <w:rFonts w:cs="Arial"/>
          <w:szCs w:val="24"/>
        </w:rPr>
        <w:t xml:space="preserve"> to </w:t>
      </w:r>
      <w:r w:rsidR="00A64B60" w:rsidRPr="00F401B9">
        <w:rPr>
          <w:rFonts w:cs="Arial"/>
          <w:szCs w:val="24"/>
        </w:rPr>
        <w:t>the Regeneration main programme</w:t>
      </w:r>
      <w:r w:rsidR="00F401B9" w:rsidRPr="00400300">
        <w:rPr>
          <w:rFonts w:cs="Arial"/>
          <w:szCs w:val="24"/>
        </w:rPr>
        <w:t xml:space="preserve"> and Empty Property Grant </w:t>
      </w:r>
      <w:r w:rsidR="00ED3B56" w:rsidRPr="00F401B9">
        <w:rPr>
          <w:rFonts w:cs="Arial"/>
          <w:szCs w:val="24"/>
        </w:rPr>
        <w:t xml:space="preserve">is </w:t>
      </w:r>
      <w:r w:rsidR="00E1082A">
        <w:rPr>
          <w:rFonts w:cs="Arial"/>
          <w:szCs w:val="24"/>
        </w:rPr>
        <w:t xml:space="preserve">an </w:t>
      </w:r>
      <w:r w:rsidR="00ED3B56" w:rsidRPr="00F401B9">
        <w:rPr>
          <w:rFonts w:cs="Arial"/>
          <w:szCs w:val="24"/>
        </w:rPr>
        <w:t>under</w:t>
      </w:r>
      <w:r w:rsidR="00D23E7D" w:rsidRPr="00400300">
        <w:rPr>
          <w:rFonts w:cs="Arial"/>
          <w:szCs w:val="24"/>
        </w:rPr>
        <w:t xml:space="preserve"> </w:t>
      </w:r>
      <w:r w:rsidR="00ED3B56" w:rsidRPr="00F401B9">
        <w:rPr>
          <w:rFonts w:cs="Arial"/>
          <w:szCs w:val="24"/>
        </w:rPr>
        <w:t xml:space="preserve">spend </w:t>
      </w:r>
      <w:r w:rsidR="00E1082A">
        <w:rPr>
          <w:rFonts w:cs="Arial"/>
          <w:szCs w:val="24"/>
        </w:rPr>
        <w:t>and the budget will be removed.</w:t>
      </w:r>
      <w:r w:rsidR="00F273F6" w:rsidRPr="00F401B9">
        <w:rPr>
          <w:rFonts w:cs="Arial"/>
          <w:szCs w:val="24"/>
        </w:rPr>
        <w:t xml:space="preserve"> </w:t>
      </w:r>
    </w:p>
    <w:p w:rsidR="00090DAA" w:rsidRDefault="00090DAA" w:rsidP="00400300">
      <w:pPr>
        <w:pStyle w:val="ListParagraph"/>
        <w:ind w:left="502" w:right="285"/>
        <w:jc w:val="both"/>
        <w:rPr>
          <w:rFonts w:cs="Arial"/>
          <w:szCs w:val="24"/>
          <w:highlight w:val="yellow"/>
        </w:rPr>
      </w:pPr>
    </w:p>
    <w:p w:rsidR="00F273F6" w:rsidRPr="00F401B9" w:rsidRDefault="00F273F6" w:rsidP="00957F91">
      <w:pPr>
        <w:ind w:left="14" w:right="304" w:firstLine="695"/>
        <w:jc w:val="both"/>
        <w:rPr>
          <w:rFonts w:cs="Arial"/>
          <w:b/>
          <w:szCs w:val="24"/>
        </w:rPr>
      </w:pPr>
      <w:r w:rsidRPr="00F401B9">
        <w:rPr>
          <w:rFonts w:cs="Arial"/>
          <w:b/>
          <w:szCs w:val="24"/>
        </w:rPr>
        <w:t>Commissioning, Environmental Services</w:t>
      </w:r>
    </w:p>
    <w:p w:rsidR="00F273F6" w:rsidRPr="00F401B9" w:rsidRDefault="00F273F6" w:rsidP="00957F91">
      <w:pPr>
        <w:pStyle w:val="ListParagraph"/>
        <w:numPr>
          <w:ilvl w:val="0"/>
          <w:numId w:val="114"/>
        </w:numPr>
        <w:ind w:left="709" w:right="304" w:hanging="709"/>
        <w:jc w:val="both"/>
        <w:rPr>
          <w:rFonts w:cs="Arial"/>
          <w:color w:val="FF0000"/>
          <w:szCs w:val="24"/>
        </w:rPr>
      </w:pPr>
      <w:r w:rsidRPr="00F401B9">
        <w:rPr>
          <w:rFonts w:cs="Arial"/>
          <w:szCs w:val="24"/>
        </w:rPr>
        <w:t xml:space="preserve">The </w:t>
      </w:r>
      <w:r w:rsidRPr="00F401B9">
        <w:t>services spent £2</w:t>
      </w:r>
      <w:r w:rsidR="00F401B9" w:rsidRPr="00400300">
        <w:t>8.601</w:t>
      </w:r>
      <w:r w:rsidRPr="00F401B9">
        <w:t>m against a budget of £</w:t>
      </w:r>
      <w:r w:rsidR="00A64B60" w:rsidRPr="00F401B9">
        <w:t>5</w:t>
      </w:r>
      <w:r w:rsidR="00F401B9" w:rsidRPr="00400300">
        <w:t>5.243</w:t>
      </w:r>
      <w:r w:rsidRPr="00F401B9">
        <w:t>m,</w:t>
      </w:r>
      <w:r w:rsidR="007D147F">
        <w:t xml:space="preserve"> a total variance of</w:t>
      </w:r>
      <w:r w:rsidRPr="00F401B9">
        <w:t xml:space="preserve"> £</w:t>
      </w:r>
      <w:r w:rsidR="00A64B60" w:rsidRPr="00F401B9">
        <w:t>2</w:t>
      </w:r>
      <w:r w:rsidR="00F401B9" w:rsidRPr="00400300">
        <w:t>6.</w:t>
      </w:r>
      <w:r w:rsidR="00B3075D">
        <w:t>642</w:t>
      </w:r>
      <w:r w:rsidRPr="00F401B9">
        <w:t>m</w:t>
      </w:r>
      <w:r w:rsidR="00B3075D">
        <w:t>, £26.529m</w:t>
      </w:r>
      <w:r w:rsidRPr="00F401B9">
        <w:t xml:space="preserve"> is requested to be slipped into 2019</w:t>
      </w:r>
      <w:r w:rsidR="00A64B60" w:rsidRPr="00F401B9">
        <w:t>/20</w:t>
      </w:r>
      <w:r w:rsidR="004F50CF">
        <w:t xml:space="preserve"> while £0.113</w:t>
      </w:r>
      <w:r w:rsidR="00F401B9" w:rsidRPr="00400300">
        <w:t xml:space="preserve">m is the under spend that will be removed from the programme. The slippages </w:t>
      </w:r>
      <w:r w:rsidRPr="00F401B9">
        <w:t>relates m</w:t>
      </w:r>
      <w:r w:rsidR="00C354A4" w:rsidRPr="00F401B9">
        <w:t>ainly to the following projects</w:t>
      </w:r>
      <w:r w:rsidR="005D0482" w:rsidRPr="00F401B9">
        <w:t>. There is no revenue implication of these capital slippages.</w:t>
      </w:r>
      <w:r w:rsidRPr="00F401B9">
        <w:t xml:space="preserve"> </w:t>
      </w:r>
    </w:p>
    <w:p w:rsidR="00F273F6" w:rsidRPr="00F401B9" w:rsidRDefault="00F273F6">
      <w:pPr>
        <w:pStyle w:val="ListParagraph"/>
        <w:ind w:left="374" w:right="304"/>
        <w:jc w:val="both"/>
        <w:rPr>
          <w:rFonts w:cs="Arial"/>
          <w:color w:val="FF0000"/>
          <w:szCs w:val="24"/>
        </w:rPr>
      </w:pPr>
    </w:p>
    <w:p w:rsidR="00F401B9" w:rsidRDefault="00F273F6" w:rsidP="00957F91">
      <w:pPr>
        <w:pStyle w:val="ListParagraph"/>
        <w:numPr>
          <w:ilvl w:val="0"/>
          <w:numId w:val="86"/>
        </w:numPr>
        <w:ind w:left="1134" w:right="304" w:hanging="425"/>
        <w:jc w:val="both"/>
        <w:rPr>
          <w:rFonts w:cs="Arial"/>
          <w:szCs w:val="24"/>
        </w:rPr>
      </w:pPr>
      <w:r w:rsidRPr="00F401B9">
        <w:rPr>
          <w:rFonts w:cs="Arial"/>
          <w:szCs w:val="24"/>
        </w:rPr>
        <w:t>Depot redevelopment (£</w:t>
      </w:r>
      <w:r w:rsidR="00F401B9" w:rsidRPr="00400300">
        <w:rPr>
          <w:rFonts w:cs="Arial"/>
          <w:szCs w:val="24"/>
        </w:rPr>
        <w:t>11.5</w:t>
      </w:r>
      <w:r w:rsidR="00095868">
        <w:rPr>
          <w:rFonts w:cs="Arial"/>
          <w:szCs w:val="24"/>
        </w:rPr>
        <w:t>00</w:t>
      </w:r>
      <w:r w:rsidRPr="00F401B9">
        <w:rPr>
          <w:rFonts w:cs="Arial"/>
          <w:szCs w:val="24"/>
        </w:rPr>
        <w:t xml:space="preserve">m). </w:t>
      </w:r>
      <w:r w:rsidR="00F401B9" w:rsidRPr="00400300">
        <w:rPr>
          <w:rFonts w:cs="Arial"/>
          <w:szCs w:val="24"/>
        </w:rPr>
        <w:t>The construction was delayed due to the re-submission of planning application due to the addition of additional floors on the development.</w:t>
      </w:r>
    </w:p>
    <w:p w:rsidR="00F401B9" w:rsidRDefault="00F401B9" w:rsidP="00400300">
      <w:pPr>
        <w:pStyle w:val="ListParagraph"/>
        <w:ind w:left="1094" w:right="304"/>
        <w:jc w:val="both"/>
        <w:rPr>
          <w:rFonts w:cs="Arial"/>
          <w:szCs w:val="24"/>
        </w:rPr>
      </w:pPr>
    </w:p>
    <w:p w:rsidR="00F401B9" w:rsidRDefault="00F401B9" w:rsidP="00957F91">
      <w:pPr>
        <w:pStyle w:val="ListParagraph"/>
        <w:numPr>
          <w:ilvl w:val="0"/>
          <w:numId w:val="86"/>
        </w:numPr>
        <w:ind w:left="1134" w:right="304" w:hanging="425"/>
        <w:jc w:val="both"/>
        <w:rPr>
          <w:rFonts w:cs="Arial"/>
          <w:szCs w:val="24"/>
        </w:rPr>
      </w:pPr>
      <w:r w:rsidRPr="00F401B9">
        <w:rPr>
          <w:rFonts w:cs="Arial"/>
          <w:szCs w:val="24"/>
        </w:rPr>
        <w:t>Vehicle procurement (£13.5</w:t>
      </w:r>
      <w:r w:rsidR="00095868">
        <w:rPr>
          <w:rFonts w:cs="Arial"/>
          <w:szCs w:val="24"/>
        </w:rPr>
        <w:t>00</w:t>
      </w:r>
      <w:r w:rsidRPr="00F401B9">
        <w:rPr>
          <w:rFonts w:cs="Arial"/>
          <w:szCs w:val="24"/>
        </w:rPr>
        <w:t xml:space="preserve">m). Due to lead in time, some vehicles on order are to be delivered in </w:t>
      </w:r>
      <w:r>
        <w:rPr>
          <w:rFonts w:cs="Arial"/>
          <w:szCs w:val="24"/>
        </w:rPr>
        <w:t>20</w:t>
      </w:r>
      <w:r w:rsidRPr="00F401B9">
        <w:rPr>
          <w:rFonts w:cs="Arial"/>
          <w:szCs w:val="24"/>
        </w:rPr>
        <w:t>19/20</w:t>
      </w:r>
      <w:r>
        <w:rPr>
          <w:rFonts w:cs="Arial"/>
          <w:szCs w:val="24"/>
        </w:rPr>
        <w:t>.</w:t>
      </w:r>
    </w:p>
    <w:p w:rsidR="00F401B9" w:rsidRPr="00284856" w:rsidRDefault="00F401B9" w:rsidP="00400300">
      <w:pPr>
        <w:pStyle w:val="ListParagraph"/>
        <w:jc w:val="both"/>
        <w:rPr>
          <w:rFonts w:cs="Arial"/>
          <w:szCs w:val="24"/>
        </w:rPr>
      </w:pPr>
    </w:p>
    <w:p w:rsidR="00F401B9" w:rsidRDefault="00F401B9" w:rsidP="00957F91">
      <w:pPr>
        <w:pStyle w:val="ListParagraph"/>
        <w:numPr>
          <w:ilvl w:val="0"/>
          <w:numId w:val="86"/>
        </w:numPr>
        <w:ind w:right="304" w:hanging="385"/>
        <w:jc w:val="both"/>
        <w:rPr>
          <w:rFonts w:cs="Arial"/>
          <w:szCs w:val="24"/>
        </w:rPr>
      </w:pPr>
      <w:r w:rsidRPr="00F401B9">
        <w:rPr>
          <w:rFonts w:cs="Arial"/>
          <w:szCs w:val="24"/>
        </w:rPr>
        <w:t>CCTV Infrastructure (£0.55</w:t>
      </w:r>
      <w:r w:rsidR="00095868">
        <w:rPr>
          <w:rFonts w:cs="Arial"/>
          <w:szCs w:val="24"/>
        </w:rPr>
        <w:t>0</w:t>
      </w:r>
      <w:r w:rsidRPr="00F401B9">
        <w:rPr>
          <w:rFonts w:cs="Arial"/>
          <w:szCs w:val="24"/>
        </w:rPr>
        <w:t xml:space="preserve">m). This is a two year project. The procurement process is underway for the appointment of a suitable contractor for implementation in </w:t>
      </w:r>
      <w:r>
        <w:rPr>
          <w:rFonts w:cs="Arial"/>
          <w:szCs w:val="24"/>
        </w:rPr>
        <w:t>20</w:t>
      </w:r>
      <w:r w:rsidRPr="00F401B9">
        <w:rPr>
          <w:rFonts w:cs="Arial"/>
          <w:szCs w:val="24"/>
        </w:rPr>
        <w:t>19/20</w:t>
      </w:r>
      <w:r>
        <w:rPr>
          <w:rFonts w:cs="Arial"/>
          <w:szCs w:val="24"/>
        </w:rPr>
        <w:t>.</w:t>
      </w:r>
    </w:p>
    <w:p w:rsidR="00F401B9" w:rsidRPr="00284856" w:rsidRDefault="00F401B9" w:rsidP="00400300">
      <w:pPr>
        <w:pStyle w:val="ListParagraph"/>
        <w:jc w:val="both"/>
        <w:rPr>
          <w:rFonts w:cs="Arial"/>
          <w:szCs w:val="24"/>
        </w:rPr>
      </w:pPr>
    </w:p>
    <w:p w:rsidR="00F401B9" w:rsidRDefault="00F401B9" w:rsidP="00957F91">
      <w:pPr>
        <w:pStyle w:val="ListParagraph"/>
        <w:numPr>
          <w:ilvl w:val="0"/>
          <w:numId w:val="86"/>
        </w:numPr>
        <w:ind w:left="1134" w:right="304" w:hanging="425"/>
        <w:jc w:val="both"/>
        <w:rPr>
          <w:rFonts w:cs="Arial"/>
          <w:szCs w:val="24"/>
        </w:rPr>
      </w:pPr>
      <w:r w:rsidRPr="00F401B9">
        <w:rPr>
          <w:rFonts w:cs="Arial"/>
          <w:szCs w:val="24"/>
        </w:rPr>
        <w:t>Redevelopment of Vernon Lodge (£0.4</w:t>
      </w:r>
      <w:r w:rsidR="00095868">
        <w:rPr>
          <w:rFonts w:cs="Arial"/>
          <w:szCs w:val="24"/>
        </w:rPr>
        <w:t>00</w:t>
      </w:r>
      <w:r w:rsidRPr="00F401B9">
        <w:rPr>
          <w:rFonts w:cs="Arial"/>
          <w:szCs w:val="24"/>
        </w:rPr>
        <w:t>m). This is a multiple year’s project. Determination of the planning application was awaited as at year-end</w:t>
      </w:r>
      <w:r>
        <w:rPr>
          <w:rFonts w:cs="Arial"/>
          <w:szCs w:val="24"/>
        </w:rPr>
        <w:t>.</w:t>
      </w:r>
      <w:r w:rsidRPr="00F401B9" w:rsidDel="00F401B9">
        <w:rPr>
          <w:rFonts w:cs="Arial"/>
          <w:szCs w:val="24"/>
        </w:rPr>
        <w:t xml:space="preserve"> </w:t>
      </w:r>
    </w:p>
    <w:p w:rsidR="00F401B9" w:rsidRPr="00284856" w:rsidRDefault="00F401B9" w:rsidP="00400300">
      <w:pPr>
        <w:pStyle w:val="ListParagraph"/>
        <w:jc w:val="both"/>
        <w:rPr>
          <w:rFonts w:cs="Arial"/>
          <w:szCs w:val="24"/>
        </w:rPr>
      </w:pPr>
    </w:p>
    <w:p w:rsidR="00F401B9" w:rsidRDefault="00F401B9" w:rsidP="00957F91">
      <w:pPr>
        <w:pStyle w:val="ListParagraph"/>
        <w:numPr>
          <w:ilvl w:val="0"/>
          <w:numId w:val="86"/>
        </w:numPr>
        <w:ind w:left="1134" w:right="304" w:hanging="425"/>
        <w:jc w:val="both"/>
        <w:rPr>
          <w:rFonts w:cs="Arial"/>
          <w:szCs w:val="24"/>
        </w:rPr>
      </w:pPr>
      <w:r w:rsidRPr="00F401B9">
        <w:rPr>
          <w:rFonts w:cs="Arial"/>
          <w:szCs w:val="24"/>
        </w:rPr>
        <w:t>Playground Improvement (£0.3</w:t>
      </w:r>
      <w:r w:rsidR="00095868">
        <w:rPr>
          <w:rFonts w:cs="Arial"/>
          <w:szCs w:val="24"/>
        </w:rPr>
        <w:t>00</w:t>
      </w:r>
      <w:r w:rsidRPr="00F401B9">
        <w:rPr>
          <w:rFonts w:cs="Arial"/>
          <w:szCs w:val="24"/>
        </w:rPr>
        <w:t xml:space="preserve">m). The procurement was concluded and contract signed in March, and therefore the installation will take place in </w:t>
      </w:r>
      <w:r>
        <w:rPr>
          <w:rFonts w:cs="Arial"/>
          <w:szCs w:val="24"/>
        </w:rPr>
        <w:t>20</w:t>
      </w:r>
      <w:r w:rsidRPr="00F401B9">
        <w:rPr>
          <w:rFonts w:cs="Arial"/>
          <w:szCs w:val="24"/>
        </w:rPr>
        <w:t>19/20</w:t>
      </w:r>
      <w:r>
        <w:rPr>
          <w:rFonts w:cs="Arial"/>
          <w:szCs w:val="24"/>
        </w:rPr>
        <w:t>.</w:t>
      </w:r>
    </w:p>
    <w:p w:rsidR="008C60D2" w:rsidRPr="00CC7109" w:rsidRDefault="008C60D2" w:rsidP="00957F91">
      <w:pPr>
        <w:pStyle w:val="ListParagraph"/>
        <w:rPr>
          <w:rFonts w:cs="Arial"/>
          <w:szCs w:val="24"/>
        </w:rPr>
      </w:pPr>
    </w:p>
    <w:p w:rsidR="008C60D2" w:rsidRDefault="008C60D2" w:rsidP="00957F91">
      <w:pPr>
        <w:pStyle w:val="ListParagraph"/>
        <w:numPr>
          <w:ilvl w:val="0"/>
          <w:numId w:val="86"/>
        </w:numPr>
        <w:ind w:left="1134" w:right="304" w:hanging="425"/>
        <w:jc w:val="both"/>
        <w:rPr>
          <w:rFonts w:cs="Arial"/>
          <w:szCs w:val="24"/>
        </w:rPr>
      </w:pPr>
      <w:r>
        <w:rPr>
          <w:rFonts w:cs="Arial"/>
          <w:szCs w:val="24"/>
        </w:rPr>
        <w:t>The remainder of the slippages (£0.</w:t>
      </w:r>
      <w:r w:rsidR="00095868">
        <w:rPr>
          <w:rFonts w:cs="Arial"/>
          <w:szCs w:val="24"/>
        </w:rPr>
        <w:t>279m</w:t>
      </w:r>
      <w:r>
        <w:rPr>
          <w:rFonts w:cs="Arial"/>
          <w:szCs w:val="24"/>
        </w:rPr>
        <w:t>) relates to smaller projects which are anticipated to be completed in 2019/20.</w:t>
      </w:r>
    </w:p>
    <w:p w:rsidR="00A211AC" w:rsidRPr="00C851F0" w:rsidRDefault="00A211AC" w:rsidP="00957F91">
      <w:pPr>
        <w:pStyle w:val="ListParagraph"/>
        <w:rPr>
          <w:rFonts w:cs="Arial"/>
          <w:szCs w:val="24"/>
        </w:rPr>
      </w:pPr>
    </w:p>
    <w:p w:rsidR="00A211AC" w:rsidRDefault="00A211AC" w:rsidP="00957F91">
      <w:pPr>
        <w:pStyle w:val="ListParagraph"/>
        <w:numPr>
          <w:ilvl w:val="0"/>
          <w:numId w:val="86"/>
        </w:numPr>
        <w:ind w:left="1134" w:right="304" w:hanging="425"/>
        <w:jc w:val="both"/>
        <w:rPr>
          <w:rFonts w:cs="Arial"/>
          <w:szCs w:val="24"/>
        </w:rPr>
      </w:pPr>
      <w:r>
        <w:rPr>
          <w:rFonts w:cs="Arial"/>
          <w:szCs w:val="24"/>
        </w:rPr>
        <w:t>The (£0.113m) underspend relates to the external funding re-</w:t>
      </w:r>
      <w:proofErr w:type="spellStart"/>
      <w:r>
        <w:rPr>
          <w:rFonts w:cs="Arial"/>
          <w:szCs w:val="24"/>
        </w:rPr>
        <w:t>alingment</w:t>
      </w:r>
      <w:proofErr w:type="spellEnd"/>
      <w:r>
        <w:rPr>
          <w:rFonts w:cs="Arial"/>
          <w:szCs w:val="24"/>
        </w:rPr>
        <w:t xml:space="preserve">. </w:t>
      </w:r>
    </w:p>
    <w:p w:rsidR="00CE1CB8" w:rsidRDefault="00CE1CB8" w:rsidP="00400300">
      <w:pPr>
        <w:pStyle w:val="ListParagraph"/>
        <w:jc w:val="both"/>
        <w:rPr>
          <w:rFonts w:cs="Arial"/>
          <w:b/>
          <w:szCs w:val="24"/>
        </w:rPr>
      </w:pPr>
    </w:p>
    <w:p w:rsidR="00F401B9" w:rsidRDefault="006F4D8D" w:rsidP="00957F91">
      <w:pPr>
        <w:pStyle w:val="ListParagraph"/>
        <w:ind w:left="709"/>
        <w:jc w:val="both"/>
        <w:rPr>
          <w:rFonts w:cs="Arial"/>
          <w:b/>
          <w:szCs w:val="24"/>
        </w:rPr>
      </w:pPr>
      <w:r w:rsidRPr="00400300">
        <w:rPr>
          <w:rFonts w:cs="Arial"/>
          <w:b/>
          <w:szCs w:val="24"/>
        </w:rPr>
        <w:t>Culture</w:t>
      </w:r>
    </w:p>
    <w:p w:rsidR="00D905F3" w:rsidRPr="00B204B7" w:rsidRDefault="00D905F3" w:rsidP="00D905F3">
      <w:pPr>
        <w:ind w:left="14" w:right="304"/>
        <w:jc w:val="both"/>
        <w:rPr>
          <w:rFonts w:cs="Arial"/>
          <w:b/>
          <w:szCs w:val="24"/>
        </w:rPr>
      </w:pPr>
    </w:p>
    <w:p w:rsidR="00D905F3" w:rsidRDefault="00D905F3" w:rsidP="00957F91">
      <w:pPr>
        <w:pStyle w:val="ListParagraph"/>
        <w:numPr>
          <w:ilvl w:val="0"/>
          <w:numId w:val="114"/>
        </w:numPr>
        <w:ind w:left="709" w:right="304" w:hanging="709"/>
        <w:jc w:val="both"/>
        <w:rPr>
          <w:rFonts w:cs="Arial"/>
          <w:szCs w:val="24"/>
        </w:rPr>
      </w:pPr>
      <w:r w:rsidRPr="00D905F3">
        <w:rPr>
          <w:rFonts w:cs="Arial"/>
          <w:szCs w:val="24"/>
        </w:rPr>
        <w:t>The services spent £1.062m against a budget of £2.026m. The variance is £0.964m, £0.978m is requested to be slipped into 2019/20 and £0.014m represents an over</w:t>
      </w:r>
      <w:r>
        <w:rPr>
          <w:rFonts w:cs="Arial"/>
          <w:szCs w:val="24"/>
        </w:rPr>
        <w:t xml:space="preserve"> </w:t>
      </w:r>
      <w:r w:rsidRPr="00D905F3">
        <w:rPr>
          <w:rFonts w:cs="Arial"/>
          <w:szCs w:val="24"/>
        </w:rPr>
        <w:t>spend on the Harrow Art Centre roof work project</w:t>
      </w:r>
      <w:r>
        <w:rPr>
          <w:rFonts w:cs="Arial"/>
          <w:szCs w:val="24"/>
        </w:rPr>
        <w:t>.</w:t>
      </w:r>
    </w:p>
    <w:p w:rsidR="00D905F3" w:rsidRDefault="00D905F3" w:rsidP="00957F91">
      <w:pPr>
        <w:pStyle w:val="ListParagraph"/>
        <w:ind w:left="709" w:right="304"/>
        <w:jc w:val="both"/>
        <w:rPr>
          <w:rFonts w:cs="Arial"/>
          <w:szCs w:val="24"/>
        </w:rPr>
      </w:pPr>
    </w:p>
    <w:p w:rsidR="00D905F3" w:rsidRPr="000A566F" w:rsidRDefault="00D905F3" w:rsidP="00957F91">
      <w:pPr>
        <w:pStyle w:val="ListParagraph"/>
        <w:numPr>
          <w:ilvl w:val="0"/>
          <w:numId w:val="114"/>
        </w:numPr>
        <w:ind w:left="709" w:right="304" w:hanging="709"/>
        <w:jc w:val="both"/>
        <w:rPr>
          <w:rFonts w:cs="Arial"/>
          <w:szCs w:val="24"/>
        </w:rPr>
      </w:pPr>
      <w:r w:rsidRPr="00D905F3">
        <w:rPr>
          <w:rFonts w:cs="Arial"/>
          <w:szCs w:val="24"/>
        </w:rPr>
        <w:t>The slippage relates mainly to the following projects. There is no revenue implication of these capital slippages</w:t>
      </w:r>
      <w:r>
        <w:rPr>
          <w:rFonts w:cs="Arial"/>
          <w:szCs w:val="24"/>
        </w:rPr>
        <w:t>.</w:t>
      </w:r>
      <w:r w:rsidRPr="000A566F">
        <w:rPr>
          <w:rFonts w:cs="Arial"/>
          <w:szCs w:val="24"/>
        </w:rPr>
        <w:t xml:space="preserve"> </w:t>
      </w:r>
    </w:p>
    <w:p w:rsidR="00D905F3" w:rsidRDefault="00D905F3" w:rsidP="00957F91">
      <w:pPr>
        <w:pStyle w:val="ListParagraph"/>
        <w:ind w:left="709"/>
        <w:jc w:val="both"/>
        <w:rPr>
          <w:rFonts w:cs="Arial"/>
          <w:b/>
          <w:szCs w:val="24"/>
        </w:rPr>
      </w:pPr>
    </w:p>
    <w:p w:rsidR="006F4D8D" w:rsidRPr="00400300" w:rsidRDefault="006F4D8D" w:rsidP="00957F91">
      <w:pPr>
        <w:pStyle w:val="ListParagraph"/>
        <w:numPr>
          <w:ilvl w:val="0"/>
          <w:numId w:val="86"/>
        </w:numPr>
        <w:ind w:left="1134" w:right="304" w:hanging="400"/>
        <w:jc w:val="both"/>
        <w:rPr>
          <w:rFonts w:cs="Arial"/>
          <w:szCs w:val="24"/>
        </w:rPr>
      </w:pPr>
      <w:r w:rsidRPr="00400300">
        <w:rPr>
          <w:rFonts w:cs="Arial"/>
          <w:szCs w:val="24"/>
        </w:rPr>
        <w:t>Bannister Sports Centre (£0.85</w:t>
      </w:r>
      <w:r w:rsidR="00095868">
        <w:rPr>
          <w:rFonts w:cs="Arial"/>
          <w:szCs w:val="24"/>
        </w:rPr>
        <w:t>0</w:t>
      </w:r>
      <w:r w:rsidRPr="00400300">
        <w:rPr>
          <w:rFonts w:cs="Arial"/>
          <w:szCs w:val="24"/>
        </w:rPr>
        <w:t>m). The project is S106 funded. A funding application to the Football Foundation has been submitted to secure match funding for the installation of a 3G pitch and pavilion works. The outcome of the application is awaited, before the project is implemented in 2019/20.</w:t>
      </w:r>
    </w:p>
    <w:p w:rsidR="006F4D8D" w:rsidRDefault="006F4D8D" w:rsidP="00400300">
      <w:pPr>
        <w:pStyle w:val="ListParagraph"/>
        <w:ind w:left="1094" w:right="304"/>
        <w:jc w:val="both"/>
        <w:rPr>
          <w:rFonts w:cs="Arial"/>
          <w:szCs w:val="24"/>
          <w:highlight w:val="yellow"/>
        </w:rPr>
      </w:pPr>
    </w:p>
    <w:p w:rsidR="006F4D8D" w:rsidRPr="00400300" w:rsidRDefault="006F4D8D" w:rsidP="00957F91">
      <w:pPr>
        <w:pStyle w:val="ListParagraph"/>
        <w:numPr>
          <w:ilvl w:val="0"/>
          <w:numId w:val="86"/>
        </w:numPr>
        <w:ind w:left="1134" w:right="304" w:hanging="400"/>
        <w:jc w:val="both"/>
        <w:rPr>
          <w:rFonts w:cs="Arial"/>
          <w:szCs w:val="24"/>
        </w:rPr>
      </w:pPr>
      <w:r w:rsidRPr="00400300">
        <w:rPr>
          <w:rFonts w:cs="Arial"/>
          <w:szCs w:val="24"/>
        </w:rPr>
        <w:t>Libraries projects (£0.072m). Delays in completing priority health and safety works at Kenton Library due to the requirement for a listed building consent.</w:t>
      </w:r>
    </w:p>
    <w:p w:rsidR="006F4D8D" w:rsidRPr="00400300" w:rsidRDefault="006F4D8D" w:rsidP="00400300">
      <w:pPr>
        <w:pStyle w:val="ListParagraph"/>
        <w:jc w:val="both"/>
        <w:rPr>
          <w:rFonts w:cs="Arial"/>
          <w:szCs w:val="24"/>
        </w:rPr>
      </w:pPr>
    </w:p>
    <w:p w:rsidR="006F4D8D" w:rsidRPr="00400300" w:rsidRDefault="006F4D8D" w:rsidP="00957F91">
      <w:pPr>
        <w:pStyle w:val="ListParagraph"/>
        <w:numPr>
          <w:ilvl w:val="0"/>
          <w:numId w:val="86"/>
        </w:numPr>
        <w:ind w:left="1134" w:right="304" w:hanging="400"/>
        <w:jc w:val="both"/>
        <w:rPr>
          <w:rFonts w:cs="Arial"/>
          <w:szCs w:val="24"/>
        </w:rPr>
      </w:pPr>
      <w:r w:rsidRPr="00400300">
        <w:rPr>
          <w:rFonts w:cs="Arial"/>
          <w:szCs w:val="24"/>
        </w:rPr>
        <w:t xml:space="preserve">New Central Library (£0.054m). This is a multiple year project with physical works on the fit out expected during </w:t>
      </w:r>
      <w:r w:rsidR="00281849">
        <w:rPr>
          <w:rFonts w:cs="Arial"/>
          <w:szCs w:val="24"/>
        </w:rPr>
        <w:t>20</w:t>
      </w:r>
      <w:r w:rsidRPr="00400300">
        <w:rPr>
          <w:rFonts w:cs="Arial"/>
          <w:szCs w:val="24"/>
        </w:rPr>
        <w:t>19/20.</w:t>
      </w:r>
    </w:p>
    <w:p w:rsidR="00EC44F3" w:rsidRPr="00400300" w:rsidRDefault="00EC44F3">
      <w:pPr>
        <w:pStyle w:val="ListParagraph"/>
        <w:jc w:val="both"/>
        <w:rPr>
          <w:rFonts w:cs="Arial"/>
          <w:szCs w:val="24"/>
          <w:highlight w:val="yellow"/>
        </w:rPr>
      </w:pPr>
    </w:p>
    <w:p w:rsidR="00F273F6" w:rsidRPr="00433F06" w:rsidRDefault="00F273F6" w:rsidP="00957F91">
      <w:pPr>
        <w:pStyle w:val="ListParagraph"/>
        <w:ind w:left="709" w:right="304"/>
        <w:jc w:val="both"/>
        <w:rPr>
          <w:rFonts w:cs="Arial"/>
          <w:b/>
          <w:szCs w:val="24"/>
        </w:rPr>
      </w:pPr>
      <w:r w:rsidRPr="00433F06">
        <w:rPr>
          <w:rFonts w:cs="Arial"/>
          <w:b/>
          <w:szCs w:val="24"/>
        </w:rPr>
        <w:t>Housing General Fund</w:t>
      </w:r>
    </w:p>
    <w:p w:rsidR="00C95569" w:rsidRPr="00F044AD" w:rsidRDefault="00F273F6" w:rsidP="00957F91">
      <w:pPr>
        <w:pStyle w:val="ListParagraph"/>
        <w:numPr>
          <w:ilvl w:val="0"/>
          <w:numId w:val="114"/>
        </w:numPr>
        <w:ind w:left="709" w:hanging="709"/>
        <w:jc w:val="both"/>
        <w:rPr>
          <w:rFonts w:cs="Arial"/>
        </w:rPr>
      </w:pPr>
      <w:r w:rsidRPr="00433F06">
        <w:rPr>
          <w:rFonts w:cs="Arial"/>
          <w:szCs w:val="24"/>
        </w:rPr>
        <w:t>The service spent £</w:t>
      </w:r>
      <w:r w:rsidR="00A64B60" w:rsidRPr="00433F06">
        <w:rPr>
          <w:rFonts w:cs="Arial"/>
          <w:szCs w:val="24"/>
        </w:rPr>
        <w:t>2.473</w:t>
      </w:r>
      <w:r w:rsidRPr="00433F06">
        <w:rPr>
          <w:rFonts w:cs="Arial"/>
          <w:szCs w:val="24"/>
        </w:rPr>
        <w:t>m against a budget of £</w:t>
      </w:r>
      <w:r w:rsidR="00A64B60" w:rsidRPr="00433F06">
        <w:rPr>
          <w:rFonts w:cs="Arial"/>
          <w:szCs w:val="24"/>
        </w:rPr>
        <w:t>18.6</w:t>
      </w:r>
      <w:r w:rsidR="000002DA">
        <w:rPr>
          <w:rFonts w:cs="Arial"/>
          <w:szCs w:val="24"/>
        </w:rPr>
        <w:t>8</w:t>
      </w:r>
      <w:r w:rsidR="00E97D7A">
        <w:rPr>
          <w:rFonts w:cs="Arial"/>
          <w:szCs w:val="24"/>
        </w:rPr>
        <w:t>8</w:t>
      </w:r>
      <w:r w:rsidRPr="00433F06">
        <w:rPr>
          <w:rFonts w:cs="Arial"/>
          <w:szCs w:val="24"/>
        </w:rPr>
        <w:t xml:space="preserve">m, </w:t>
      </w:r>
      <w:r w:rsidR="003D2716" w:rsidRPr="00433F06">
        <w:rPr>
          <w:rFonts w:cs="Arial"/>
          <w:szCs w:val="24"/>
        </w:rPr>
        <w:t xml:space="preserve">a </w:t>
      </w:r>
      <w:r w:rsidR="00A64B60" w:rsidRPr="00433F06">
        <w:rPr>
          <w:rFonts w:cs="Arial"/>
          <w:szCs w:val="24"/>
        </w:rPr>
        <w:t>1</w:t>
      </w:r>
      <w:r w:rsidR="005850A7" w:rsidRPr="00400300">
        <w:rPr>
          <w:rFonts w:cs="Arial"/>
          <w:szCs w:val="24"/>
        </w:rPr>
        <w:t>3</w:t>
      </w:r>
      <w:r w:rsidRPr="00433F06">
        <w:rPr>
          <w:rFonts w:cs="Arial"/>
          <w:szCs w:val="24"/>
        </w:rPr>
        <w:t xml:space="preserve">% </w:t>
      </w:r>
      <w:r w:rsidR="003D2716" w:rsidRPr="00433F06">
        <w:rPr>
          <w:rFonts w:cs="Arial"/>
          <w:szCs w:val="24"/>
        </w:rPr>
        <w:t>spend</w:t>
      </w:r>
      <w:r w:rsidRPr="00433F06">
        <w:rPr>
          <w:rFonts w:cs="Arial"/>
          <w:szCs w:val="24"/>
        </w:rPr>
        <w:t xml:space="preserve">.  </w:t>
      </w:r>
    </w:p>
    <w:p w:rsidR="00C95569" w:rsidRPr="00C842C1" w:rsidRDefault="00C95569" w:rsidP="00400300">
      <w:pPr>
        <w:pStyle w:val="ListParagraph"/>
        <w:ind w:left="567"/>
        <w:jc w:val="both"/>
        <w:rPr>
          <w:rFonts w:cs="Arial"/>
        </w:rPr>
      </w:pPr>
    </w:p>
    <w:p w:rsidR="00C95569" w:rsidRPr="00F044AD" w:rsidRDefault="00C95569" w:rsidP="00957F91">
      <w:pPr>
        <w:pStyle w:val="ListParagraph"/>
        <w:numPr>
          <w:ilvl w:val="0"/>
          <w:numId w:val="114"/>
        </w:numPr>
        <w:ind w:left="709" w:hanging="709"/>
        <w:jc w:val="both"/>
        <w:rPr>
          <w:rFonts w:cs="Arial"/>
        </w:rPr>
      </w:pPr>
      <w:r w:rsidRPr="00C95569">
        <w:rPr>
          <w:rFonts w:cs="Arial"/>
          <w:szCs w:val="24"/>
        </w:rPr>
        <w:t>T</w:t>
      </w:r>
      <w:r w:rsidR="000002DA">
        <w:rPr>
          <w:rFonts w:cs="Arial"/>
          <w:szCs w:val="24"/>
        </w:rPr>
        <w:t>he variance is £16.215m; £15.258</w:t>
      </w:r>
      <w:r w:rsidRPr="00C95569">
        <w:rPr>
          <w:rFonts w:cs="Arial"/>
          <w:szCs w:val="24"/>
        </w:rPr>
        <w:t>m</w:t>
      </w:r>
      <w:r w:rsidRPr="00C95569">
        <w:rPr>
          <w:rFonts w:cs="Arial"/>
          <w:b/>
          <w:bCs/>
          <w:szCs w:val="24"/>
        </w:rPr>
        <w:t xml:space="preserve"> </w:t>
      </w:r>
      <w:r w:rsidRPr="00C95569">
        <w:rPr>
          <w:rFonts w:cs="Arial"/>
          <w:szCs w:val="24"/>
        </w:rPr>
        <w:t>will be</w:t>
      </w:r>
      <w:r w:rsidR="000002DA">
        <w:rPr>
          <w:rFonts w:cs="Arial"/>
          <w:szCs w:val="24"/>
        </w:rPr>
        <w:t xml:space="preserve"> slipped to 2019/20 while £0.957</w:t>
      </w:r>
      <w:r w:rsidRPr="00C95569">
        <w:rPr>
          <w:rFonts w:cs="Arial"/>
          <w:szCs w:val="24"/>
        </w:rPr>
        <w:t>m is no longer needed</w:t>
      </w:r>
      <w:r>
        <w:rPr>
          <w:rFonts w:cs="Arial"/>
          <w:szCs w:val="24"/>
        </w:rPr>
        <w:t>.</w:t>
      </w:r>
    </w:p>
    <w:p w:rsidR="00C95569" w:rsidRPr="00C842C1" w:rsidRDefault="00C95569" w:rsidP="00400300">
      <w:pPr>
        <w:pStyle w:val="ListParagraph"/>
        <w:jc w:val="both"/>
        <w:rPr>
          <w:rFonts w:cs="Arial"/>
          <w:szCs w:val="24"/>
        </w:rPr>
      </w:pPr>
    </w:p>
    <w:p w:rsidR="00C95569" w:rsidRPr="00F044AD" w:rsidRDefault="00C95569" w:rsidP="00957F91">
      <w:pPr>
        <w:pStyle w:val="ListParagraph"/>
        <w:numPr>
          <w:ilvl w:val="0"/>
          <w:numId w:val="114"/>
        </w:numPr>
        <w:ind w:left="709" w:hanging="709"/>
        <w:jc w:val="both"/>
        <w:rPr>
          <w:rFonts w:cs="Arial"/>
        </w:rPr>
      </w:pPr>
      <w:r w:rsidRPr="00C95569">
        <w:rPr>
          <w:rFonts w:cs="Arial"/>
          <w:szCs w:val="24"/>
        </w:rPr>
        <w:t xml:space="preserve">The </w:t>
      </w:r>
      <w:r w:rsidR="00132213">
        <w:rPr>
          <w:rFonts w:cs="Arial"/>
          <w:szCs w:val="24"/>
        </w:rPr>
        <w:t xml:space="preserve">main items of </w:t>
      </w:r>
      <w:r w:rsidRPr="00C95569">
        <w:rPr>
          <w:rFonts w:cs="Arial"/>
          <w:szCs w:val="24"/>
        </w:rPr>
        <w:t>slippage are detailed below</w:t>
      </w:r>
      <w:r w:rsidR="00132213">
        <w:rPr>
          <w:rFonts w:cs="Arial"/>
          <w:szCs w:val="24"/>
        </w:rPr>
        <w:t>;</w:t>
      </w:r>
    </w:p>
    <w:p w:rsidR="00C95569" w:rsidRPr="00C842C1" w:rsidRDefault="00C95569" w:rsidP="00400300">
      <w:pPr>
        <w:pStyle w:val="ListParagraph"/>
        <w:jc w:val="both"/>
        <w:rPr>
          <w:rFonts w:cs="Arial"/>
          <w:szCs w:val="24"/>
        </w:rPr>
      </w:pPr>
    </w:p>
    <w:p w:rsidR="00F273F6" w:rsidRPr="00957F91" w:rsidRDefault="00C95569" w:rsidP="00957F91">
      <w:pPr>
        <w:pStyle w:val="ListParagraph"/>
        <w:ind w:left="709"/>
        <w:jc w:val="both"/>
        <w:rPr>
          <w:bCs/>
          <w:highlight w:val="yellow"/>
        </w:rPr>
      </w:pPr>
      <w:r w:rsidRPr="00615AE1">
        <w:rPr>
          <w:rFonts w:cs="Arial"/>
          <w:szCs w:val="24"/>
        </w:rPr>
        <w:t xml:space="preserve">Additional </w:t>
      </w:r>
      <w:r w:rsidR="00F273F6" w:rsidRPr="00615AE1">
        <w:rPr>
          <w:rFonts w:cs="Arial"/>
          <w:szCs w:val="24"/>
        </w:rPr>
        <w:t xml:space="preserve">Property </w:t>
      </w:r>
      <w:r w:rsidR="00F273F6" w:rsidRPr="00615AE1">
        <w:rPr>
          <w:bCs/>
        </w:rPr>
        <w:t xml:space="preserve">Purchase </w:t>
      </w:r>
      <w:r w:rsidRPr="00615AE1">
        <w:rPr>
          <w:bCs/>
        </w:rPr>
        <w:t>Acquisition Programme</w:t>
      </w:r>
      <w:r w:rsidR="00F273F6" w:rsidRPr="00957F91">
        <w:rPr>
          <w:bCs/>
        </w:rPr>
        <w:t xml:space="preserve"> </w:t>
      </w:r>
    </w:p>
    <w:p w:rsidR="00C95569" w:rsidRDefault="00132213" w:rsidP="00957F91">
      <w:pPr>
        <w:pStyle w:val="ListParagraph"/>
        <w:numPr>
          <w:ilvl w:val="0"/>
          <w:numId w:val="114"/>
        </w:numPr>
        <w:ind w:left="709" w:hanging="709"/>
        <w:jc w:val="both"/>
        <w:rPr>
          <w:rFonts w:cs="Arial"/>
          <w:szCs w:val="24"/>
        </w:rPr>
      </w:pPr>
      <w:r>
        <w:rPr>
          <w:rFonts w:cs="Arial"/>
          <w:szCs w:val="24"/>
        </w:rPr>
        <w:t>£15m slippage relates</w:t>
      </w:r>
      <w:r w:rsidR="00C95569" w:rsidRPr="00C95569">
        <w:rPr>
          <w:rFonts w:cs="Arial"/>
          <w:szCs w:val="24"/>
        </w:rPr>
        <w:t xml:space="preserve"> to acquisition of additional properties under </w:t>
      </w:r>
      <w:r w:rsidR="00E97D7A">
        <w:rPr>
          <w:rFonts w:cs="Arial"/>
          <w:szCs w:val="24"/>
        </w:rPr>
        <w:t xml:space="preserve">the </w:t>
      </w:r>
      <w:r w:rsidR="00C95569" w:rsidRPr="00C95569">
        <w:rPr>
          <w:rFonts w:cs="Arial"/>
          <w:szCs w:val="24"/>
        </w:rPr>
        <w:t>Council’s Property Acquisition Programme.</w:t>
      </w:r>
      <w:r w:rsidR="00E4003B" w:rsidRPr="00E4003B">
        <w:rPr>
          <w:rFonts w:cs="Arial"/>
          <w:b/>
          <w:bCs/>
        </w:rPr>
        <w:t xml:space="preserve"> </w:t>
      </w:r>
      <w:r w:rsidR="00E4003B" w:rsidRPr="00400300">
        <w:rPr>
          <w:rFonts w:cs="Arial"/>
          <w:szCs w:val="24"/>
        </w:rPr>
        <w:t>Following a review of the performance of the first 100 properties approval has been granted to proceed with the a</w:t>
      </w:r>
      <w:r w:rsidR="005B6FFD">
        <w:rPr>
          <w:rFonts w:cs="Arial"/>
          <w:szCs w:val="24"/>
        </w:rPr>
        <w:t xml:space="preserve">dditional </w:t>
      </w:r>
      <w:r w:rsidR="00B6779A">
        <w:rPr>
          <w:rFonts w:cs="Arial"/>
          <w:szCs w:val="24"/>
        </w:rPr>
        <w:t>properties which have</w:t>
      </w:r>
      <w:r w:rsidR="005B6FFD">
        <w:rPr>
          <w:rFonts w:cs="Arial"/>
          <w:szCs w:val="24"/>
        </w:rPr>
        <w:t xml:space="preserve"> </w:t>
      </w:r>
      <w:r w:rsidR="00E4003B" w:rsidRPr="00400300">
        <w:rPr>
          <w:rFonts w:cs="Arial"/>
          <w:szCs w:val="24"/>
        </w:rPr>
        <w:t>resulted in the full budget being carried forward to be progressed in 2019/20.</w:t>
      </w:r>
      <w:r w:rsidR="006513BD">
        <w:rPr>
          <w:rFonts w:cs="Arial"/>
          <w:szCs w:val="24"/>
        </w:rPr>
        <w:t xml:space="preserve"> </w:t>
      </w:r>
      <w:r w:rsidR="00E4003B" w:rsidRPr="00400300">
        <w:rPr>
          <w:rFonts w:cs="Arial"/>
          <w:szCs w:val="24"/>
        </w:rPr>
        <w:t>Although this has resulted</w:t>
      </w:r>
      <w:r w:rsidR="00B6779A" w:rsidRPr="00400300">
        <w:rPr>
          <w:rFonts w:cs="Arial"/>
          <w:szCs w:val="24"/>
        </w:rPr>
        <w:t> in</w:t>
      </w:r>
      <w:r w:rsidR="00E4003B" w:rsidRPr="00400300">
        <w:rPr>
          <w:rFonts w:cs="Arial"/>
          <w:szCs w:val="24"/>
        </w:rPr>
        <w:t xml:space="preserve"> a temporary reduction in </w:t>
      </w:r>
      <w:r w:rsidR="00B6779A" w:rsidRPr="00400300">
        <w:rPr>
          <w:rFonts w:cs="Arial"/>
          <w:szCs w:val="24"/>
        </w:rPr>
        <w:t>the supply</w:t>
      </w:r>
      <w:r w:rsidR="00E4003B" w:rsidRPr="00400300">
        <w:rPr>
          <w:rFonts w:cs="Arial"/>
          <w:szCs w:val="24"/>
        </w:rPr>
        <w:t xml:space="preserve"> of temporary </w:t>
      </w:r>
      <w:r w:rsidR="00B6779A" w:rsidRPr="00400300">
        <w:rPr>
          <w:rFonts w:cs="Arial"/>
          <w:szCs w:val="24"/>
        </w:rPr>
        <w:t>accommodation,</w:t>
      </w:r>
      <w:r w:rsidR="00E4003B" w:rsidRPr="00400300">
        <w:rPr>
          <w:rFonts w:cs="Arial"/>
          <w:szCs w:val="24"/>
        </w:rPr>
        <w:t xml:space="preserve"> this initiative will </w:t>
      </w:r>
      <w:r w:rsidR="00B6779A" w:rsidRPr="00400300">
        <w:rPr>
          <w:rFonts w:cs="Arial"/>
          <w:szCs w:val="24"/>
        </w:rPr>
        <w:t>assist the</w:t>
      </w:r>
      <w:r w:rsidR="00E4003B" w:rsidRPr="00400300">
        <w:rPr>
          <w:rFonts w:cs="Arial"/>
          <w:szCs w:val="24"/>
        </w:rPr>
        <w:t xml:space="preserve"> Council in alleviating General</w:t>
      </w:r>
      <w:r w:rsidR="00E4003B" w:rsidRPr="00E4003B">
        <w:rPr>
          <w:rFonts w:cs="Arial"/>
          <w:b/>
          <w:bCs/>
          <w:szCs w:val="24"/>
        </w:rPr>
        <w:t xml:space="preserve"> </w:t>
      </w:r>
      <w:r w:rsidR="00E4003B" w:rsidRPr="00400300">
        <w:rPr>
          <w:rFonts w:cs="Arial"/>
          <w:szCs w:val="24"/>
        </w:rPr>
        <w:t>Fund homelessness pressures in accordance with the approved MTFS</w:t>
      </w:r>
      <w:r w:rsidR="00E4003B">
        <w:rPr>
          <w:rFonts w:cs="Arial"/>
          <w:szCs w:val="24"/>
        </w:rPr>
        <w:t>.</w:t>
      </w:r>
    </w:p>
    <w:p w:rsidR="00C95569" w:rsidRDefault="00C95569" w:rsidP="00400300">
      <w:pPr>
        <w:pStyle w:val="ListParagraph"/>
        <w:ind w:left="502"/>
        <w:jc w:val="both"/>
        <w:rPr>
          <w:rFonts w:cs="Arial"/>
          <w:szCs w:val="24"/>
        </w:rPr>
      </w:pPr>
    </w:p>
    <w:p w:rsidR="00C95569" w:rsidRPr="00090DAA" w:rsidRDefault="00C95569" w:rsidP="00957F91">
      <w:pPr>
        <w:ind w:left="709"/>
        <w:jc w:val="both"/>
        <w:rPr>
          <w:rFonts w:cs="Arial"/>
          <w:szCs w:val="24"/>
        </w:rPr>
      </w:pPr>
      <w:r w:rsidRPr="00400300">
        <w:rPr>
          <w:rFonts w:cs="Arial"/>
          <w:bCs/>
          <w:szCs w:val="24"/>
        </w:rPr>
        <w:t>Other Housing General Fund projects</w:t>
      </w:r>
    </w:p>
    <w:p w:rsidR="00C95569" w:rsidRPr="00F044AD" w:rsidRDefault="00FA124F" w:rsidP="00957F91">
      <w:pPr>
        <w:pStyle w:val="ListParagraph"/>
        <w:numPr>
          <w:ilvl w:val="0"/>
          <w:numId w:val="114"/>
        </w:numPr>
        <w:ind w:left="709" w:hanging="709"/>
        <w:jc w:val="both"/>
        <w:rPr>
          <w:rFonts w:cs="Arial"/>
        </w:rPr>
      </w:pPr>
      <w:r>
        <w:rPr>
          <w:rFonts w:cs="Arial"/>
          <w:szCs w:val="24"/>
        </w:rPr>
        <w:lastRenderedPageBreak/>
        <w:t>In</w:t>
      </w:r>
      <w:r w:rsidR="00194D62">
        <w:rPr>
          <w:rFonts w:cs="Arial"/>
          <w:szCs w:val="24"/>
        </w:rPr>
        <w:t xml:space="preserve"> 2018/19</w:t>
      </w:r>
      <w:r w:rsidR="00E97D7A">
        <w:rPr>
          <w:rFonts w:cs="Arial"/>
          <w:szCs w:val="24"/>
        </w:rPr>
        <w:t xml:space="preserve"> £2.473</w:t>
      </w:r>
      <w:r>
        <w:rPr>
          <w:rFonts w:cs="Arial"/>
          <w:szCs w:val="24"/>
        </w:rPr>
        <w:t>m was spent</w:t>
      </w:r>
      <w:r w:rsidR="00194D62">
        <w:rPr>
          <w:rFonts w:cs="Arial"/>
          <w:szCs w:val="24"/>
        </w:rPr>
        <w:t xml:space="preserve"> </w:t>
      </w:r>
      <w:r w:rsidR="00662CC4">
        <w:rPr>
          <w:rFonts w:cs="Arial"/>
          <w:szCs w:val="24"/>
        </w:rPr>
        <w:t>against</w:t>
      </w:r>
      <w:r w:rsidR="00194D62">
        <w:rPr>
          <w:rFonts w:cs="Arial"/>
          <w:szCs w:val="24"/>
        </w:rPr>
        <w:t xml:space="preserve"> a budget of £3.688m</w:t>
      </w:r>
      <w:r w:rsidR="00C95569" w:rsidRPr="00C95569">
        <w:rPr>
          <w:rFonts w:cs="Arial"/>
          <w:szCs w:val="24"/>
        </w:rPr>
        <w:t xml:space="preserve">. Of </w:t>
      </w:r>
      <w:r w:rsidR="00E97D7A">
        <w:rPr>
          <w:rFonts w:cs="Arial"/>
          <w:szCs w:val="24"/>
        </w:rPr>
        <w:t>this variance of £1.215m, £0.258</w:t>
      </w:r>
      <w:r w:rsidR="00C95569" w:rsidRPr="00C95569">
        <w:rPr>
          <w:rFonts w:cs="Arial"/>
          <w:szCs w:val="24"/>
        </w:rPr>
        <w:t>m of the variance has been slipped to 2019/20, with a net underspend of (£0.95</w:t>
      </w:r>
      <w:r w:rsidR="008E7889">
        <w:rPr>
          <w:rFonts w:cs="Arial"/>
          <w:szCs w:val="24"/>
        </w:rPr>
        <w:t>7</w:t>
      </w:r>
      <w:r w:rsidR="00C95569" w:rsidRPr="00C95569">
        <w:rPr>
          <w:rFonts w:cs="Arial"/>
          <w:szCs w:val="24"/>
        </w:rPr>
        <w:t>m) on Empty Property Grants and improvement Grant. Within the under spend, £0.746m relates to budget set aside for Compulsory Purchase Order not now proceeding. There are no related revenue implications.</w:t>
      </w:r>
    </w:p>
    <w:p w:rsidR="00E8092D" w:rsidRPr="00400300" w:rsidRDefault="00E8092D" w:rsidP="00957F91">
      <w:pPr>
        <w:suppressAutoHyphens/>
        <w:autoSpaceDE w:val="0"/>
        <w:autoSpaceDN w:val="0"/>
        <w:adjustRightInd w:val="0"/>
        <w:spacing w:after="37"/>
        <w:ind w:left="709"/>
        <w:jc w:val="both"/>
        <w:rPr>
          <w:rFonts w:cs="Arial"/>
          <w:b/>
          <w:color w:val="000000"/>
          <w:szCs w:val="24"/>
          <w:lang w:eastAsia="en-GB"/>
        </w:rPr>
      </w:pPr>
      <w:r w:rsidRPr="00400300">
        <w:rPr>
          <w:rFonts w:cs="Arial"/>
          <w:b/>
          <w:color w:val="000000"/>
          <w:szCs w:val="24"/>
          <w:lang w:eastAsia="en-GB"/>
        </w:rPr>
        <w:t>Regeneration, Enterprise and Planning</w:t>
      </w:r>
    </w:p>
    <w:p w:rsidR="00E8092D" w:rsidRDefault="00E8092D" w:rsidP="00957F91">
      <w:pPr>
        <w:pStyle w:val="ListParagraph"/>
        <w:numPr>
          <w:ilvl w:val="0"/>
          <w:numId w:val="114"/>
        </w:numPr>
        <w:ind w:left="709" w:hanging="709"/>
        <w:jc w:val="both"/>
        <w:rPr>
          <w:rFonts w:cs="Arial"/>
          <w:szCs w:val="24"/>
        </w:rPr>
      </w:pPr>
      <w:r w:rsidRPr="00400300">
        <w:rPr>
          <w:rFonts w:cs="Arial"/>
          <w:szCs w:val="24"/>
        </w:rPr>
        <w:t>The net variance for the Regeneration, Enterprise and Planning Directorate is an outturn of £</w:t>
      </w:r>
      <w:r w:rsidR="006F4D8D" w:rsidRPr="00400300">
        <w:rPr>
          <w:rFonts w:cs="Arial"/>
          <w:szCs w:val="24"/>
        </w:rPr>
        <w:t>3.</w:t>
      </w:r>
      <w:r w:rsidR="000002DA">
        <w:rPr>
          <w:rFonts w:cs="Arial"/>
          <w:szCs w:val="24"/>
        </w:rPr>
        <w:t>062</w:t>
      </w:r>
      <w:r w:rsidRPr="00400300">
        <w:rPr>
          <w:rFonts w:cs="Arial"/>
          <w:szCs w:val="24"/>
        </w:rPr>
        <w:t>m against the budget of £</w:t>
      </w:r>
      <w:r w:rsidR="000002DA">
        <w:rPr>
          <w:rFonts w:cs="Arial"/>
          <w:szCs w:val="24"/>
        </w:rPr>
        <w:t>73.202</w:t>
      </w:r>
      <w:r w:rsidRPr="00400300">
        <w:rPr>
          <w:rFonts w:cs="Arial"/>
          <w:szCs w:val="24"/>
        </w:rPr>
        <w:t>m, a variance of £</w:t>
      </w:r>
      <w:r w:rsidR="006F4D8D" w:rsidRPr="00400300">
        <w:rPr>
          <w:rFonts w:cs="Arial"/>
          <w:szCs w:val="24"/>
        </w:rPr>
        <w:t>70.</w:t>
      </w:r>
      <w:r w:rsidR="000002DA">
        <w:rPr>
          <w:rFonts w:cs="Arial"/>
          <w:szCs w:val="24"/>
        </w:rPr>
        <w:t>140</w:t>
      </w:r>
      <w:r w:rsidRPr="00400300">
        <w:rPr>
          <w:rFonts w:cs="Arial"/>
          <w:szCs w:val="24"/>
        </w:rPr>
        <w:t>m. (£</w:t>
      </w:r>
      <w:r w:rsidR="006F4D8D" w:rsidRPr="00400300">
        <w:rPr>
          <w:rFonts w:cs="Arial"/>
          <w:szCs w:val="24"/>
        </w:rPr>
        <w:t>10.77</w:t>
      </w:r>
      <w:r w:rsidR="0070788C">
        <w:rPr>
          <w:rFonts w:cs="Arial"/>
          <w:szCs w:val="24"/>
        </w:rPr>
        <w:t>6</w:t>
      </w:r>
      <w:r w:rsidRPr="00400300">
        <w:rPr>
          <w:rFonts w:cs="Arial"/>
          <w:szCs w:val="24"/>
        </w:rPr>
        <w:t>m of slippage and £</w:t>
      </w:r>
      <w:r w:rsidR="000002DA">
        <w:rPr>
          <w:rFonts w:cs="Arial"/>
          <w:szCs w:val="24"/>
        </w:rPr>
        <w:t>59.36</w:t>
      </w:r>
      <w:r w:rsidR="007D147F">
        <w:rPr>
          <w:rFonts w:cs="Arial"/>
          <w:szCs w:val="24"/>
        </w:rPr>
        <w:t>4</w:t>
      </w:r>
      <w:r w:rsidRPr="00400300">
        <w:rPr>
          <w:rFonts w:cs="Arial"/>
          <w:szCs w:val="24"/>
        </w:rPr>
        <w:t>m underspend).</w:t>
      </w:r>
    </w:p>
    <w:p w:rsidR="006F4D8D" w:rsidRDefault="006F4D8D" w:rsidP="00400300">
      <w:pPr>
        <w:pStyle w:val="ListParagraph"/>
        <w:ind w:left="502"/>
        <w:jc w:val="both"/>
        <w:rPr>
          <w:rFonts w:cs="Arial"/>
          <w:szCs w:val="24"/>
        </w:rPr>
      </w:pPr>
    </w:p>
    <w:p w:rsidR="00E8092D" w:rsidRPr="00400300" w:rsidRDefault="006F4D8D" w:rsidP="00957F91">
      <w:pPr>
        <w:pStyle w:val="ListParagraph"/>
        <w:ind w:left="709"/>
        <w:jc w:val="both"/>
        <w:rPr>
          <w:rFonts w:cs="Arial"/>
          <w:b/>
          <w:szCs w:val="24"/>
        </w:rPr>
      </w:pPr>
      <w:r w:rsidRPr="00400300">
        <w:rPr>
          <w:rFonts w:cs="Arial"/>
          <w:b/>
          <w:szCs w:val="24"/>
        </w:rPr>
        <w:t>Enterprise and Planning</w:t>
      </w:r>
    </w:p>
    <w:p w:rsidR="006F4D8D" w:rsidRDefault="006F4D8D" w:rsidP="00957F91">
      <w:pPr>
        <w:pStyle w:val="ListParagraph"/>
        <w:numPr>
          <w:ilvl w:val="0"/>
          <w:numId w:val="114"/>
        </w:numPr>
        <w:ind w:left="709" w:hanging="709"/>
        <w:jc w:val="both"/>
        <w:rPr>
          <w:rFonts w:cs="Arial"/>
          <w:szCs w:val="24"/>
        </w:rPr>
      </w:pPr>
      <w:r w:rsidRPr="00400300">
        <w:rPr>
          <w:rFonts w:cs="Arial"/>
          <w:szCs w:val="24"/>
        </w:rPr>
        <w:t>The service spent £0.760m against a budget of £1.785m. £1.023m is requested to be slipped into 2019/20 and relates to the following projects.</w:t>
      </w:r>
    </w:p>
    <w:p w:rsidR="006F4D8D" w:rsidRDefault="006F4D8D" w:rsidP="00400300">
      <w:pPr>
        <w:pStyle w:val="ListParagraph"/>
        <w:ind w:left="567"/>
        <w:jc w:val="both"/>
        <w:rPr>
          <w:rFonts w:cs="Arial"/>
          <w:szCs w:val="24"/>
        </w:rPr>
      </w:pPr>
    </w:p>
    <w:p w:rsidR="006F4D8D" w:rsidRDefault="006F4D8D" w:rsidP="00400300">
      <w:pPr>
        <w:pStyle w:val="ListParagraph"/>
        <w:numPr>
          <w:ilvl w:val="0"/>
          <w:numId w:val="157"/>
        </w:numPr>
        <w:ind w:left="993" w:hanging="284"/>
        <w:jc w:val="both"/>
        <w:rPr>
          <w:rFonts w:cs="Arial"/>
          <w:szCs w:val="24"/>
        </w:rPr>
      </w:pPr>
      <w:r w:rsidRPr="006F4D8D">
        <w:rPr>
          <w:rFonts w:cs="Arial"/>
          <w:szCs w:val="24"/>
        </w:rPr>
        <w:t>Wealdstone Square (£0.3</w:t>
      </w:r>
      <w:r w:rsidR="003E7B5C">
        <w:rPr>
          <w:rFonts w:cs="Arial"/>
          <w:szCs w:val="24"/>
        </w:rPr>
        <w:t>00</w:t>
      </w:r>
      <w:r w:rsidRPr="006F4D8D">
        <w:rPr>
          <w:rFonts w:cs="Arial"/>
          <w:szCs w:val="24"/>
        </w:rPr>
        <w:t xml:space="preserve">m). The project is in its implementation stage with construction work underway and completion expected in </w:t>
      </w:r>
      <w:r w:rsidR="00281849">
        <w:rPr>
          <w:rFonts w:cs="Arial"/>
          <w:szCs w:val="24"/>
        </w:rPr>
        <w:t>20</w:t>
      </w:r>
      <w:r w:rsidRPr="006F4D8D">
        <w:rPr>
          <w:rFonts w:cs="Arial"/>
          <w:szCs w:val="24"/>
        </w:rPr>
        <w:t>19/20</w:t>
      </w:r>
      <w:r w:rsidR="00281849">
        <w:rPr>
          <w:rFonts w:cs="Arial"/>
          <w:szCs w:val="24"/>
        </w:rPr>
        <w:t>.</w:t>
      </w:r>
    </w:p>
    <w:p w:rsidR="00281849" w:rsidRDefault="00281849" w:rsidP="00400300">
      <w:pPr>
        <w:pStyle w:val="ListParagraph"/>
        <w:ind w:left="1287"/>
        <w:jc w:val="both"/>
        <w:rPr>
          <w:rFonts w:cs="Arial"/>
          <w:szCs w:val="24"/>
        </w:rPr>
      </w:pPr>
    </w:p>
    <w:p w:rsidR="00281849" w:rsidRDefault="00281849" w:rsidP="00400300">
      <w:pPr>
        <w:pStyle w:val="ListParagraph"/>
        <w:numPr>
          <w:ilvl w:val="0"/>
          <w:numId w:val="157"/>
        </w:numPr>
        <w:ind w:left="993" w:right="304" w:hanging="284"/>
        <w:jc w:val="both"/>
        <w:rPr>
          <w:rFonts w:cs="Arial"/>
          <w:szCs w:val="24"/>
        </w:rPr>
      </w:pPr>
      <w:r>
        <w:rPr>
          <w:rFonts w:cs="Arial"/>
          <w:szCs w:val="24"/>
        </w:rPr>
        <w:t>Mobile Technology (Adults Learning)</w:t>
      </w:r>
      <w:r w:rsidR="00AA66AC">
        <w:rPr>
          <w:rFonts w:cs="Arial"/>
          <w:szCs w:val="24"/>
        </w:rPr>
        <w:t xml:space="preserve"> (£0.05</w:t>
      </w:r>
      <w:r w:rsidR="003E7B5C">
        <w:rPr>
          <w:rFonts w:cs="Arial"/>
          <w:szCs w:val="24"/>
        </w:rPr>
        <w:t>0</w:t>
      </w:r>
      <w:r w:rsidR="00AA66AC">
        <w:rPr>
          <w:rFonts w:cs="Arial"/>
          <w:szCs w:val="24"/>
        </w:rPr>
        <w:t>m)</w:t>
      </w:r>
      <w:r>
        <w:rPr>
          <w:rFonts w:cs="Arial"/>
          <w:szCs w:val="24"/>
        </w:rPr>
        <w:t xml:space="preserve">. The service is in discussion with the GLA to utilise the funding for a virtual learning centre, however this is subject to final agreement. </w:t>
      </w:r>
    </w:p>
    <w:p w:rsidR="00281849" w:rsidRPr="00284856" w:rsidRDefault="00281849" w:rsidP="00400300">
      <w:pPr>
        <w:pStyle w:val="ListParagraph"/>
        <w:jc w:val="both"/>
        <w:rPr>
          <w:rFonts w:cs="Arial"/>
          <w:szCs w:val="24"/>
        </w:rPr>
      </w:pPr>
    </w:p>
    <w:p w:rsidR="00281849" w:rsidRDefault="00281849" w:rsidP="00400300">
      <w:pPr>
        <w:pStyle w:val="ListParagraph"/>
        <w:numPr>
          <w:ilvl w:val="0"/>
          <w:numId w:val="157"/>
        </w:numPr>
        <w:ind w:left="993" w:hanging="284"/>
        <w:jc w:val="both"/>
        <w:rPr>
          <w:rFonts w:cs="Arial"/>
          <w:szCs w:val="24"/>
        </w:rPr>
      </w:pPr>
      <w:r w:rsidRPr="00281849">
        <w:rPr>
          <w:rFonts w:cs="Arial"/>
          <w:szCs w:val="24"/>
        </w:rPr>
        <w:t>Neighbourhood CIL (£0.66</w:t>
      </w:r>
      <w:r w:rsidR="000002DA">
        <w:rPr>
          <w:rFonts w:cs="Arial"/>
          <w:szCs w:val="24"/>
        </w:rPr>
        <w:t>1</w:t>
      </w:r>
      <w:r w:rsidRPr="00281849">
        <w:rPr>
          <w:rFonts w:cs="Arial"/>
          <w:szCs w:val="24"/>
        </w:rPr>
        <w:t>m). This sum represents the unspent notional allocation in 18/19 capital programme</w:t>
      </w:r>
      <w:r>
        <w:rPr>
          <w:rFonts w:cs="Arial"/>
          <w:szCs w:val="24"/>
        </w:rPr>
        <w:t>.</w:t>
      </w:r>
    </w:p>
    <w:p w:rsidR="00AA66AC" w:rsidRPr="00CC7109" w:rsidRDefault="00AA66AC" w:rsidP="00957F91">
      <w:pPr>
        <w:pStyle w:val="ListParagraph"/>
        <w:rPr>
          <w:rFonts w:cs="Arial"/>
          <w:szCs w:val="24"/>
        </w:rPr>
      </w:pPr>
    </w:p>
    <w:p w:rsidR="00AA66AC" w:rsidRDefault="00AA66AC" w:rsidP="00400300">
      <w:pPr>
        <w:pStyle w:val="ListParagraph"/>
        <w:numPr>
          <w:ilvl w:val="0"/>
          <w:numId w:val="157"/>
        </w:numPr>
        <w:ind w:left="993" w:hanging="284"/>
        <w:jc w:val="both"/>
        <w:rPr>
          <w:rFonts w:cs="Arial"/>
          <w:szCs w:val="24"/>
        </w:rPr>
      </w:pPr>
      <w:r>
        <w:rPr>
          <w:rFonts w:cs="Arial"/>
          <w:szCs w:val="24"/>
        </w:rPr>
        <w:t xml:space="preserve">Lyon Road (£0.013m). This is an externally funded multiple year project with anticipated completion in 2020/21.  </w:t>
      </w:r>
    </w:p>
    <w:p w:rsidR="00281849" w:rsidRPr="00284856" w:rsidRDefault="00281849" w:rsidP="00400300">
      <w:pPr>
        <w:pStyle w:val="ListParagraph"/>
        <w:jc w:val="both"/>
        <w:rPr>
          <w:rFonts w:cs="Arial"/>
          <w:szCs w:val="24"/>
        </w:rPr>
      </w:pPr>
    </w:p>
    <w:p w:rsidR="00C95569" w:rsidRPr="00400300" w:rsidRDefault="00C95569" w:rsidP="00957F91">
      <w:pPr>
        <w:pStyle w:val="ListParagraph"/>
        <w:numPr>
          <w:ilvl w:val="0"/>
          <w:numId w:val="114"/>
        </w:numPr>
        <w:ind w:left="709" w:hanging="709"/>
        <w:jc w:val="both"/>
        <w:rPr>
          <w:rFonts w:cs="Arial"/>
          <w:szCs w:val="24"/>
        </w:rPr>
      </w:pPr>
      <w:r w:rsidRPr="00400300">
        <w:rPr>
          <w:rFonts w:cs="Arial"/>
          <w:szCs w:val="24"/>
        </w:rPr>
        <w:t>In 2018/19, the main reg</w:t>
      </w:r>
      <w:r w:rsidR="000002DA">
        <w:rPr>
          <w:rFonts w:cs="Arial"/>
          <w:szCs w:val="24"/>
        </w:rPr>
        <w:t>eneration programme spent £2.302</w:t>
      </w:r>
      <w:r w:rsidRPr="00400300">
        <w:rPr>
          <w:rFonts w:cs="Arial"/>
          <w:szCs w:val="24"/>
        </w:rPr>
        <w:t>m aga</w:t>
      </w:r>
      <w:r w:rsidR="00D20651">
        <w:rPr>
          <w:rFonts w:cs="Arial"/>
          <w:szCs w:val="24"/>
        </w:rPr>
        <w:t>inst a budget of £71.418</w:t>
      </w:r>
      <w:r w:rsidR="000002DA">
        <w:rPr>
          <w:rFonts w:cs="Arial"/>
          <w:szCs w:val="24"/>
        </w:rPr>
        <w:t xml:space="preserve">m. </w:t>
      </w:r>
      <w:r w:rsidR="006513BD">
        <w:rPr>
          <w:rFonts w:cs="Arial"/>
          <w:szCs w:val="24"/>
        </w:rPr>
        <w:t xml:space="preserve"> </w:t>
      </w:r>
      <w:r w:rsidR="000002DA">
        <w:rPr>
          <w:rFonts w:cs="Arial"/>
          <w:szCs w:val="24"/>
        </w:rPr>
        <w:t>Of the variance of £69.116</w:t>
      </w:r>
      <w:r w:rsidRPr="00400300">
        <w:rPr>
          <w:rFonts w:cs="Arial"/>
          <w:szCs w:val="24"/>
        </w:rPr>
        <w:t>m, £9.753m has been s</w:t>
      </w:r>
      <w:r w:rsidR="000002DA">
        <w:rPr>
          <w:rFonts w:cs="Arial"/>
          <w:szCs w:val="24"/>
        </w:rPr>
        <w:t>lipped to 2019/20 whilst £59.36</w:t>
      </w:r>
      <w:r w:rsidR="00120303">
        <w:rPr>
          <w:rFonts w:cs="Arial"/>
          <w:szCs w:val="24"/>
        </w:rPr>
        <w:t>4</w:t>
      </w:r>
      <w:r w:rsidRPr="00400300">
        <w:rPr>
          <w:rFonts w:cs="Arial"/>
          <w:szCs w:val="24"/>
        </w:rPr>
        <w:t>m is underspent as a result of a revised capital programme set for 2 years from 2019/20 which accurately reflects current ac</w:t>
      </w:r>
      <w:r w:rsidR="00132213">
        <w:rPr>
          <w:rFonts w:cs="Arial"/>
          <w:szCs w:val="24"/>
        </w:rPr>
        <w:t>tivity</w:t>
      </w:r>
      <w:r w:rsidRPr="00400300">
        <w:rPr>
          <w:rFonts w:cs="Arial"/>
          <w:szCs w:val="24"/>
        </w:rPr>
        <w:t xml:space="preserve">. </w:t>
      </w:r>
      <w:r w:rsidR="006513BD">
        <w:rPr>
          <w:rFonts w:cs="Arial"/>
          <w:szCs w:val="24"/>
        </w:rPr>
        <w:t xml:space="preserve">This was reported to Cabinet in December 2018. </w:t>
      </w:r>
      <w:r w:rsidRPr="00400300">
        <w:rPr>
          <w:rFonts w:cs="Arial"/>
          <w:szCs w:val="24"/>
        </w:rPr>
        <w:t>There are no revenue implications as a result of this slippage.</w:t>
      </w:r>
    </w:p>
    <w:p w:rsidR="00E611F7" w:rsidRPr="00400300" w:rsidRDefault="00E611F7">
      <w:pPr>
        <w:pStyle w:val="ListParagraph"/>
        <w:ind w:left="567"/>
        <w:jc w:val="both"/>
        <w:rPr>
          <w:rFonts w:cs="Arial"/>
          <w:highlight w:val="yellow"/>
        </w:rPr>
      </w:pPr>
    </w:p>
    <w:p w:rsidR="00D74507" w:rsidRPr="0023213A" w:rsidRDefault="00F273F6" w:rsidP="00957F91">
      <w:pPr>
        <w:ind w:left="709" w:right="304"/>
        <w:jc w:val="both"/>
        <w:rPr>
          <w:rFonts w:cs="Arial"/>
          <w:b/>
          <w:szCs w:val="24"/>
        </w:rPr>
      </w:pPr>
      <w:r w:rsidRPr="0023213A">
        <w:rPr>
          <w:rFonts w:cs="Arial"/>
          <w:b/>
          <w:szCs w:val="24"/>
        </w:rPr>
        <w:t>P</w:t>
      </w:r>
      <w:r w:rsidR="00151AAB" w:rsidRPr="0023213A">
        <w:rPr>
          <w:rFonts w:cs="Arial"/>
          <w:b/>
          <w:szCs w:val="24"/>
        </w:rPr>
        <w:t>eople Services</w:t>
      </w:r>
    </w:p>
    <w:p w:rsidR="00F273F6" w:rsidRPr="0023213A" w:rsidRDefault="00F273F6" w:rsidP="00957F91">
      <w:pPr>
        <w:ind w:left="709" w:right="304"/>
        <w:jc w:val="both"/>
        <w:rPr>
          <w:rFonts w:cs="Arial"/>
          <w:b/>
          <w:szCs w:val="24"/>
        </w:rPr>
      </w:pPr>
    </w:p>
    <w:p w:rsidR="00F273F6" w:rsidRPr="0023213A" w:rsidRDefault="00F273F6" w:rsidP="00957F91">
      <w:pPr>
        <w:pStyle w:val="ListParagraph"/>
        <w:numPr>
          <w:ilvl w:val="0"/>
          <w:numId w:val="114"/>
        </w:numPr>
        <w:ind w:left="709" w:hanging="709"/>
        <w:jc w:val="both"/>
        <w:rPr>
          <w:rFonts w:cs="Arial"/>
        </w:rPr>
      </w:pPr>
      <w:r w:rsidRPr="0023213A">
        <w:t>Th</w:t>
      </w:r>
      <w:r w:rsidR="003D2716" w:rsidRPr="0023213A">
        <w:t>e net position</w:t>
      </w:r>
      <w:r w:rsidRPr="0023213A">
        <w:t xml:space="preserve"> for People’s Service is an outturn of £</w:t>
      </w:r>
      <w:r w:rsidR="0023213A" w:rsidRPr="00400300">
        <w:t>5.</w:t>
      </w:r>
      <w:r w:rsidR="00C57349">
        <w:t>690</w:t>
      </w:r>
      <w:r w:rsidRPr="0023213A">
        <w:t>m against the budget of £</w:t>
      </w:r>
      <w:r w:rsidR="0023213A" w:rsidRPr="00400300">
        <w:t>26.88</w:t>
      </w:r>
      <w:r w:rsidR="00746AB2">
        <w:t>5</w:t>
      </w:r>
      <w:r w:rsidRPr="0023213A">
        <w:t>m, a</w:t>
      </w:r>
      <w:r w:rsidR="003D2716" w:rsidRPr="0023213A">
        <w:t xml:space="preserve"> </w:t>
      </w:r>
      <w:r w:rsidR="0023213A" w:rsidRPr="00400300">
        <w:t>19</w:t>
      </w:r>
      <w:r w:rsidR="003D2716" w:rsidRPr="0023213A">
        <w:t>% spend,</w:t>
      </w:r>
      <w:r w:rsidRPr="0023213A">
        <w:t xml:space="preserve"> </w:t>
      </w:r>
      <w:r w:rsidR="003D2716" w:rsidRPr="0023213A">
        <w:t>with a</w:t>
      </w:r>
      <w:r w:rsidRPr="0023213A">
        <w:t xml:space="preserve"> variance </w:t>
      </w:r>
      <w:r w:rsidR="003D2716" w:rsidRPr="0023213A">
        <w:t>of</w:t>
      </w:r>
      <w:r w:rsidRPr="0023213A">
        <w:t xml:space="preserve"> </w:t>
      </w:r>
      <w:r w:rsidR="006513BD">
        <w:t>£</w:t>
      </w:r>
      <w:r w:rsidR="0023213A" w:rsidRPr="00400300">
        <w:t>21.195</w:t>
      </w:r>
      <w:r w:rsidRPr="0023213A">
        <w:t>m</w:t>
      </w:r>
      <w:r w:rsidR="0023213A">
        <w:t>.</w:t>
      </w:r>
      <w:r w:rsidRPr="0023213A">
        <w:t xml:space="preserve"> £1</w:t>
      </w:r>
      <w:r w:rsidR="0023213A" w:rsidRPr="00400300">
        <w:t>9.5</w:t>
      </w:r>
      <w:r w:rsidR="00C57349">
        <w:t>69</w:t>
      </w:r>
      <w:r w:rsidRPr="0023213A">
        <w:t xml:space="preserve">m of </w:t>
      </w:r>
      <w:r w:rsidR="006513BD">
        <w:t xml:space="preserve">which is </w:t>
      </w:r>
      <w:r w:rsidRPr="0023213A">
        <w:t>slippage and £</w:t>
      </w:r>
      <w:r w:rsidR="0023213A" w:rsidRPr="00400300">
        <w:t>1.</w:t>
      </w:r>
      <w:r w:rsidRPr="0023213A">
        <w:t>6</w:t>
      </w:r>
      <w:r w:rsidR="00C57349">
        <w:t>26</w:t>
      </w:r>
      <w:r w:rsidRPr="0023213A">
        <w:t xml:space="preserve">m </w:t>
      </w:r>
      <w:r w:rsidR="006513BD">
        <w:t xml:space="preserve">is an </w:t>
      </w:r>
      <w:r w:rsidR="0023213A" w:rsidRPr="00400300">
        <w:t>under s</w:t>
      </w:r>
      <w:r w:rsidRPr="0023213A">
        <w:t>pen</w:t>
      </w:r>
      <w:r w:rsidR="0023213A" w:rsidRPr="00400300">
        <w:t>d</w:t>
      </w:r>
      <w:r w:rsidR="006513BD">
        <w:t>.</w:t>
      </w:r>
    </w:p>
    <w:p w:rsidR="005E473F" w:rsidRPr="00400300" w:rsidRDefault="005E473F">
      <w:pPr>
        <w:pStyle w:val="ListParagraph"/>
        <w:ind w:left="502"/>
        <w:jc w:val="both"/>
        <w:rPr>
          <w:rFonts w:cs="Arial"/>
          <w:highlight w:val="yellow"/>
        </w:rPr>
      </w:pPr>
    </w:p>
    <w:p w:rsidR="00F273F6" w:rsidRPr="0023213A" w:rsidRDefault="00F273F6" w:rsidP="00957F91">
      <w:pPr>
        <w:ind w:left="709" w:right="304"/>
        <w:jc w:val="both"/>
        <w:rPr>
          <w:rFonts w:cs="Arial"/>
          <w:b/>
          <w:szCs w:val="24"/>
        </w:rPr>
      </w:pPr>
      <w:r w:rsidRPr="0023213A">
        <w:rPr>
          <w:rFonts w:cs="Arial"/>
          <w:b/>
          <w:szCs w:val="24"/>
        </w:rPr>
        <w:t>Children’s Service</w:t>
      </w:r>
    </w:p>
    <w:p w:rsidR="00F273F6" w:rsidRPr="0023213A" w:rsidRDefault="00F273F6" w:rsidP="00957F91">
      <w:pPr>
        <w:pStyle w:val="ListParagraph"/>
        <w:numPr>
          <w:ilvl w:val="0"/>
          <w:numId w:val="114"/>
        </w:numPr>
        <w:ind w:left="709" w:hanging="709"/>
        <w:jc w:val="both"/>
        <w:rPr>
          <w:rFonts w:cs="Arial"/>
        </w:rPr>
      </w:pPr>
      <w:r w:rsidRPr="0023213A">
        <w:rPr>
          <w:rFonts w:cs="Arial"/>
          <w:szCs w:val="24"/>
        </w:rPr>
        <w:t xml:space="preserve">The </w:t>
      </w:r>
      <w:r w:rsidRPr="0023213A">
        <w:rPr>
          <w:rFonts w:cs="Arial"/>
        </w:rPr>
        <w:t>final outturn in 2018</w:t>
      </w:r>
      <w:r w:rsidR="0023213A" w:rsidRPr="00400300">
        <w:rPr>
          <w:rFonts w:cs="Arial"/>
        </w:rPr>
        <w:t>/19</w:t>
      </w:r>
      <w:r w:rsidRPr="0023213A">
        <w:rPr>
          <w:rFonts w:cs="Arial"/>
        </w:rPr>
        <w:t xml:space="preserve"> for the schools capital programme is</w:t>
      </w:r>
      <w:r w:rsidR="00281849">
        <w:rPr>
          <w:rFonts w:cs="Arial"/>
        </w:rPr>
        <w:t xml:space="preserve"> a total</w:t>
      </w:r>
      <w:r w:rsidRPr="0023213A">
        <w:rPr>
          <w:rFonts w:cs="Arial"/>
        </w:rPr>
        <w:t xml:space="preserve"> spend of £</w:t>
      </w:r>
      <w:r w:rsidR="00C57349">
        <w:rPr>
          <w:rFonts w:cs="Arial"/>
        </w:rPr>
        <w:t>5.048</w:t>
      </w:r>
      <w:r w:rsidRPr="0023213A">
        <w:rPr>
          <w:rFonts w:cs="Arial"/>
        </w:rPr>
        <w:t>m against a total budget of £2</w:t>
      </w:r>
      <w:r w:rsidR="0023213A" w:rsidRPr="00400300">
        <w:rPr>
          <w:rFonts w:cs="Arial"/>
        </w:rPr>
        <w:t>5.</w:t>
      </w:r>
      <w:r w:rsidR="00C57349">
        <w:rPr>
          <w:rFonts w:cs="Arial"/>
        </w:rPr>
        <w:t>573</w:t>
      </w:r>
      <w:r w:rsidRPr="0023213A">
        <w:rPr>
          <w:rFonts w:cs="Arial"/>
        </w:rPr>
        <w:t xml:space="preserve">m. This represented expenditure of </w:t>
      </w:r>
      <w:r w:rsidR="00C57349">
        <w:rPr>
          <w:rFonts w:cs="Arial"/>
        </w:rPr>
        <w:t>20</w:t>
      </w:r>
      <w:r w:rsidRPr="0023213A">
        <w:rPr>
          <w:rFonts w:cs="Arial"/>
        </w:rPr>
        <w:t>% against the budget. £</w:t>
      </w:r>
      <w:r w:rsidR="0023213A" w:rsidRPr="00400300">
        <w:rPr>
          <w:rFonts w:cs="Arial"/>
        </w:rPr>
        <w:t>19.</w:t>
      </w:r>
      <w:r w:rsidR="00C95017">
        <w:rPr>
          <w:rFonts w:cs="Arial"/>
        </w:rPr>
        <w:t>24</w:t>
      </w:r>
      <w:r w:rsidR="00DF5678">
        <w:rPr>
          <w:rFonts w:cs="Arial"/>
        </w:rPr>
        <w:t>3</w:t>
      </w:r>
      <w:r w:rsidRPr="0023213A">
        <w:rPr>
          <w:rFonts w:cs="Arial"/>
        </w:rPr>
        <w:t>m of the variance has been slipped to 2019</w:t>
      </w:r>
      <w:r w:rsidR="0023213A" w:rsidRPr="00400300">
        <w:rPr>
          <w:rFonts w:cs="Arial"/>
        </w:rPr>
        <w:t>/20 and there is a net underspend on</w:t>
      </w:r>
      <w:r w:rsidR="002B4540">
        <w:rPr>
          <w:rFonts w:cs="Arial"/>
        </w:rPr>
        <w:t xml:space="preserve"> the capital programme of £1.28</w:t>
      </w:r>
      <w:r w:rsidR="00DF5678">
        <w:rPr>
          <w:rFonts w:cs="Arial"/>
        </w:rPr>
        <w:t>2</w:t>
      </w:r>
      <w:r w:rsidR="0023213A" w:rsidRPr="00400300">
        <w:rPr>
          <w:rFonts w:cs="Arial"/>
        </w:rPr>
        <w:t>m</w:t>
      </w:r>
      <w:r w:rsidRPr="0023213A">
        <w:rPr>
          <w:rFonts w:cs="Arial"/>
        </w:rPr>
        <w:t>.</w:t>
      </w:r>
    </w:p>
    <w:p w:rsidR="00F273F6" w:rsidRPr="0023213A" w:rsidRDefault="00F273F6">
      <w:pPr>
        <w:pStyle w:val="ListParagraph"/>
        <w:ind w:left="360"/>
        <w:jc w:val="both"/>
        <w:rPr>
          <w:rFonts w:cs="Arial"/>
        </w:rPr>
      </w:pPr>
    </w:p>
    <w:p w:rsidR="00F273F6" w:rsidRPr="0023213A" w:rsidRDefault="00F273F6" w:rsidP="00957F91">
      <w:pPr>
        <w:pStyle w:val="ListParagraph"/>
        <w:suppressAutoHyphens/>
        <w:ind w:left="709"/>
        <w:jc w:val="both"/>
        <w:rPr>
          <w:rFonts w:cs="Arial"/>
          <w:b/>
          <w:szCs w:val="24"/>
          <w:lang w:eastAsia="ar-SA"/>
        </w:rPr>
      </w:pPr>
      <w:r w:rsidRPr="0023213A">
        <w:rPr>
          <w:rFonts w:cs="Arial"/>
          <w:b/>
          <w:szCs w:val="24"/>
          <w:lang w:eastAsia="ar-SA"/>
        </w:rPr>
        <w:t xml:space="preserve">SLIPPAGE </w:t>
      </w:r>
    </w:p>
    <w:p w:rsidR="00F273F6" w:rsidRPr="0023213A" w:rsidRDefault="00F273F6" w:rsidP="00957F91">
      <w:pPr>
        <w:pStyle w:val="ListParagraph"/>
        <w:numPr>
          <w:ilvl w:val="0"/>
          <w:numId w:val="114"/>
        </w:numPr>
        <w:suppressAutoHyphens/>
        <w:ind w:left="709" w:hanging="709"/>
        <w:jc w:val="both"/>
        <w:rPr>
          <w:rFonts w:cs="Arial"/>
          <w:szCs w:val="24"/>
          <w:lang w:eastAsia="ar-SA"/>
        </w:rPr>
      </w:pPr>
      <w:r w:rsidRPr="0023213A">
        <w:rPr>
          <w:rFonts w:cs="Arial"/>
          <w:szCs w:val="24"/>
          <w:lang w:eastAsia="ar-SA"/>
        </w:rPr>
        <w:t>The reported slippage for 2018</w:t>
      </w:r>
      <w:r w:rsidR="0023213A" w:rsidRPr="00400300">
        <w:rPr>
          <w:rFonts w:cs="Arial"/>
          <w:szCs w:val="24"/>
          <w:lang w:eastAsia="ar-SA"/>
        </w:rPr>
        <w:t>/19</w:t>
      </w:r>
      <w:r w:rsidRPr="0023213A">
        <w:rPr>
          <w:rFonts w:cs="Arial"/>
          <w:szCs w:val="24"/>
          <w:lang w:eastAsia="ar-SA"/>
        </w:rPr>
        <w:t xml:space="preserve"> is £1</w:t>
      </w:r>
      <w:r w:rsidR="0023213A" w:rsidRPr="00400300">
        <w:rPr>
          <w:rFonts w:cs="Arial"/>
          <w:szCs w:val="24"/>
          <w:lang w:eastAsia="ar-SA"/>
        </w:rPr>
        <w:t>9</w:t>
      </w:r>
      <w:r w:rsidRPr="0023213A">
        <w:rPr>
          <w:rFonts w:cs="Arial"/>
          <w:szCs w:val="24"/>
          <w:lang w:eastAsia="ar-SA"/>
        </w:rPr>
        <w:t>.</w:t>
      </w:r>
      <w:r w:rsidR="0023213A" w:rsidRPr="00400300">
        <w:rPr>
          <w:rFonts w:cs="Arial"/>
          <w:szCs w:val="24"/>
          <w:lang w:eastAsia="ar-SA"/>
        </w:rPr>
        <w:t>2</w:t>
      </w:r>
      <w:r w:rsidR="002B4540">
        <w:rPr>
          <w:rFonts w:cs="Arial"/>
          <w:szCs w:val="24"/>
          <w:lang w:eastAsia="ar-SA"/>
        </w:rPr>
        <w:t>4</w:t>
      </w:r>
      <w:r w:rsidR="00C17EC9">
        <w:rPr>
          <w:rFonts w:cs="Arial"/>
          <w:szCs w:val="24"/>
          <w:lang w:eastAsia="ar-SA"/>
        </w:rPr>
        <w:t>3</w:t>
      </w:r>
      <w:r w:rsidRPr="0023213A">
        <w:rPr>
          <w:rFonts w:cs="Arial"/>
          <w:szCs w:val="24"/>
          <w:lang w:eastAsia="ar-SA"/>
        </w:rPr>
        <w:t>m.</w:t>
      </w:r>
      <w:r w:rsidR="000E15CC" w:rsidRPr="0023213A">
        <w:rPr>
          <w:rFonts w:cs="Arial"/>
          <w:szCs w:val="24"/>
          <w:lang w:eastAsia="ar-SA"/>
        </w:rPr>
        <w:t xml:space="preserve"> There are no </w:t>
      </w:r>
      <w:r w:rsidR="00BE2DC6" w:rsidRPr="0023213A">
        <w:rPr>
          <w:rFonts w:cs="Arial"/>
          <w:szCs w:val="24"/>
          <w:lang w:eastAsia="ar-SA"/>
        </w:rPr>
        <w:t>revenue</w:t>
      </w:r>
      <w:r w:rsidR="000E15CC" w:rsidRPr="0023213A">
        <w:rPr>
          <w:rFonts w:cs="Arial"/>
          <w:szCs w:val="24"/>
          <w:lang w:eastAsia="ar-SA"/>
        </w:rPr>
        <w:t xml:space="preserve"> implications as a result of this slippage.</w:t>
      </w:r>
      <w:r w:rsidRPr="0023213A">
        <w:rPr>
          <w:rFonts w:cs="Arial"/>
          <w:szCs w:val="24"/>
          <w:lang w:eastAsia="ar-SA"/>
        </w:rPr>
        <w:t xml:space="preserve"> The majority of these items are set out as follows;</w:t>
      </w:r>
    </w:p>
    <w:p w:rsidR="00F273F6" w:rsidRPr="0023213A" w:rsidRDefault="00F273F6">
      <w:pPr>
        <w:autoSpaceDE w:val="0"/>
        <w:autoSpaceDN w:val="0"/>
        <w:adjustRightInd w:val="0"/>
        <w:jc w:val="both"/>
        <w:rPr>
          <w:rFonts w:cs="Arial"/>
          <w:color w:val="000000"/>
          <w:szCs w:val="24"/>
          <w:lang w:eastAsia="en-GB"/>
        </w:rPr>
      </w:pPr>
    </w:p>
    <w:p w:rsidR="0023213A" w:rsidRPr="00400300" w:rsidRDefault="0023213A" w:rsidP="00957F91">
      <w:pPr>
        <w:pStyle w:val="ListParagraph"/>
        <w:numPr>
          <w:ilvl w:val="0"/>
          <w:numId w:val="113"/>
        </w:numPr>
        <w:autoSpaceDE w:val="0"/>
        <w:autoSpaceDN w:val="0"/>
        <w:adjustRightInd w:val="0"/>
        <w:ind w:left="1134" w:hanging="414"/>
        <w:jc w:val="both"/>
        <w:rPr>
          <w:rFonts w:cs="Arial"/>
          <w:color w:val="000000"/>
          <w:szCs w:val="24"/>
          <w:lang w:eastAsia="en-GB"/>
        </w:rPr>
      </w:pPr>
      <w:r w:rsidRPr="00400300">
        <w:rPr>
          <w:rFonts w:cs="Arial"/>
          <w:color w:val="000000"/>
          <w:szCs w:val="24"/>
          <w:lang w:eastAsia="en-GB"/>
        </w:rPr>
        <w:t>The majority of slippage relates to SEP2 primary, secondary &amp; SEN schemes of £6.116m due to the ongoing contractual issues.</w:t>
      </w:r>
    </w:p>
    <w:p w:rsidR="0023213A" w:rsidRPr="00400300" w:rsidRDefault="0023213A" w:rsidP="00400300">
      <w:pPr>
        <w:pStyle w:val="ListParagraph"/>
        <w:autoSpaceDE w:val="0"/>
        <w:autoSpaceDN w:val="0"/>
        <w:adjustRightInd w:val="0"/>
        <w:ind w:left="1080"/>
        <w:jc w:val="both"/>
        <w:rPr>
          <w:rFonts w:cs="Arial"/>
          <w:color w:val="000000"/>
          <w:szCs w:val="24"/>
          <w:lang w:eastAsia="en-GB"/>
        </w:rPr>
      </w:pPr>
    </w:p>
    <w:p w:rsidR="0023213A" w:rsidRPr="00400300" w:rsidRDefault="0023213A" w:rsidP="00957F91">
      <w:pPr>
        <w:pStyle w:val="ListParagraph"/>
        <w:numPr>
          <w:ilvl w:val="0"/>
          <w:numId w:val="113"/>
        </w:numPr>
        <w:autoSpaceDE w:val="0"/>
        <w:autoSpaceDN w:val="0"/>
        <w:adjustRightInd w:val="0"/>
        <w:ind w:left="1134" w:hanging="414"/>
        <w:jc w:val="both"/>
        <w:rPr>
          <w:rFonts w:cs="Arial"/>
          <w:color w:val="000000"/>
          <w:szCs w:val="24"/>
          <w:lang w:eastAsia="en-GB"/>
        </w:rPr>
      </w:pPr>
      <w:r w:rsidRPr="00400300">
        <w:rPr>
          <w:rFonts w:cs="Arial"/>
          <w:color w:val="000000"/>
          <w:szCs w:val="24"/>
          <w:lang w:eastAsia="en-GB"/>
        </w:rPr>
        <w:t xml:space="preserve">£6.275m relates to funding set aside for secondary expansions. As reported to Cabinet in July 2018 the projections for Year 7 places continue to show a lower trajectory of increase than the 2015 projections. With the current number of places available there will be a shortfall of 2 forms of entry in 2021/22 and peaks at up to 5 forms of entry in 2022/23. However, at this time there are a higher number of Year 7 places than required which is resulting in vacancies being concentrated in a small number of </w:t>
      </w:r>
      <w:proofErr w:type="gramStart"/>
      <w:r w:rsidRPr="00400300">
        <w:rPr>
          <w:rFonts w:cs="Arial"/>
          <w:color w:val="000000"/>
          <w:szCs w:val="24"/>
          <w:lang w:eastAsia="en-GB"/>
        </w:rPr>
        <w:t>schools.</w:t>
      </w:r>
      <w:proofErr w:type="gramEnd"/>
      <w:r w:rsidRPr="00400300">
        <w:rPr>
          <w:rFonts w:cs="Arial"/>
          <w:color w:val="000000"/>
          <w:szCs w:val="24"/>
          <w:lang w:eastAsia="en-GB"/>
        </w:rPr>
        <w:t xml:space="preserve"> It is proposed to slip the funding to 2020-21 and ensure that the situation is monitored and that once there is greater clarity about changes on the borough boundaries that a local solution to meet the growing need is developed with the High Schools.</w:t>
      </w:r>
    </w:p>
    <w:p w:rsidR="0023213A" w:rsidRPr="00400300" w:rsidRDefault="0023213A" w:rsidP="00400300">
      <w:pPr>
        <w:pStyle w:val="ListParagraph"/>
        <w:jc w:val="both"/>
        <w:rPr>
          <w:rFonts w:cs="Arial"/>
          <w:color w:val="000000"/>
          <w:szCs w:val="24"/>
          <w:lang w:eastAsia="en-GB"/>
        </w:rPr>
      </w:pPr>
    </w:p>
    <w:p w:rsidR="0023213A" w:rsidRPr="00400300" w:rsidRDefault="0023213A" w:rsidP="00957F91">
      <w:pPr>
        <w:pStyle w:val="ListParagraph"/>
        <w:numPr>
          <w:ilvl w:val="0"/>
          <w:numId w:val="113"/>
        </w:numPr>
        <w:autoSpaceDE w:val="0"/>
        <w:autoSpaceDN w:val="0"/>
        <w:adjustRightInd w:val="0"/>
        <w:ind w:left="1134" w:hanging="414"/>
        <w:jc w:val="both"/>
        <w:rPr>
          <w:rFonts w:cs="Arial"/>
          <w:color w:val="000000"/>
          <w:szCs w:val="24"/>
          <w:lang w:eastAsia="en-GB"/>
        </w:rPr>
      </w:pPr>
      <w:r w:rsidRPr="00400300">
        <w:rPr>
          <w:rFonts w:cs="Arial"/>
          <w:color w:val="000000"/>
          <w:szCs w:val="24"/>
          <w:lang w:eastAsia="en-GB"/>
        </w:rPr>
        <w:t>Special Educational Needs provision slippage totals £3.495m. Funding has been included in the capital programme to support additional in-borough SEND provision will be delivered in line with the SEND Strategy reported to Cabinet in February 2019.</w:t>
      </w:r>
    </w:p>
    <w:p w:rsidR="0023213A" w:rsidRPr="00400300" w:rsidRDefault="0023213A" w:rsidP="00400300">
      <w:pPr>
        <w:pStyle w:val="ListParagraph"/>
        <w:jc w:val="both"/>
        <w:rPr>
          <w:rFonts w:cs="Arial"/>
          <w:color w:val="000000"/>
          <w:szCs w:val="24"/>
          <w:lang w:eastAsia="en-GB"/>
        </w:rPr>
      </w:pPr>
    </w:p>
    <w:p w:rsidR="00F273F6" w:rsidRDefault="00F273F6" w:rsidP="00957F91">
      <w:pPr>
        <w:pStyle w:val="ListParagraph"/>
        <w:numPr>
          <w:ilvl w:val="0"/>
          <w:numId w:val="113"/>
        </w:numPr>
        <w:autoSpaceDE w:val="0"/>
        <w:autoSpaceDN w:val="0"/>
        <w:adjustRightInd w:val="0"/>
        <w:ind w:left="1134" w:hanging="414"/>
        <w:jc w:val="both"/>
        <w:rPr>
          <w:rFonts w:cs="Arial"/>
          <w:color w:val="000000"/>
          <w:szCs w:val="24"/>
          <w:lang w:eastAsia="en-GB"/>
        </w:rPr>
      </w:pPr>
      <w:r w:rsidRPr="0023213A">
        <w:rPr>
          <w:rFonts w:cs="Arial"/>
          <w:color w:val="000000"/>
          <w:szCs w:val="24"/>
          <w:lang w:eastAsia="en-GB"/>
        </w:rPr>
        <w:t xml:space="preserve">£2.625m relates to funding set aside for secondary expansions. As reported to Cabinet in June 2017 the projections for Year 7 places continue to show a lower trajectory of increase than the 2015 projections. With the current number of places available there will be a shortfall of 4 to 5 forms of entry in 2022/23. This reduces to 3-5 forms of entry in 2027/28. However, at this time there are a higher number of Year 7 places than required which is resulting in vacancies being concentrated in a small number of </w:t>
      </w:r>
      <w:proofErr w:type="gramStart"/>
      <w:r w:rsidRPr="0023213A">
        <w:rPr>
          <w:rFonts w:cs="Arial"/>
          <w:color w:val="000000"/>
          <w:szCs w:val="24"/>
          <w:lang w:eastAsia="en-GB"/>
        </w:rPr>
        <w:t>schools.</w:t>
      </w:r>
      <w:proofErr w:type="gramEnd"/>
      <w:r w:rsidRPr="0023213A">
        <w:rPr>
          <w:rFonts w:cs="Arial"/>
          <w:color w:val="000000"/>
          <w:szCs w:val="24"/>
          <w:lang w:eastAsia="en-GB"/>
        </w:rPr>
        <w:t xml:space="preserve"> It is proposed to slip the funding to 2019-20 and ensure that the situation is monitored and that once there is greater clarity about changes on the borough boundaries that a local solution to meet the growing need is developed with the High Schools.</w:t>
      </w:r>
    </w:p>
    <w:p w:rsidR="003E7B5C" w:rsidRDefault="003E7B5C" w:rsidP="00957F91">
      <w:pPr>
        <w:pStyle w:val="ListParagraph"/>
        <w:autoSpaceDE w:val="0"/>
        <w:autoSpaceDN w:val="0"/>
        <w:adjustRightInd w:val="0"/>
        <w:ind w:left="1134"/>
        <w:jc w:val="both"/>
        <w:rPr>
          <w:rFonts w:cs="Arial"/>
          <w:color w:val="000000"/>
          <w:szCs w:val="24"/>
          <w:lang w:eastAsia="en-GB"/>
        </w:rPr>
      </w:pPr>
    </w:p>
    <w:p w:rsidR="003E7B5C" w:rsidRPr="003E7B5C" w:rsidRDefault="003E7B5C" w:rsidP="003E7B5C">
      <w:pPr>
        <w:pStyle w:val="ListParagraph"/>
        <w:numPr>
          <w:ilvl w:val="0"/>
          <w:numId w:val="113"/>
        </w:numPr>
        <w:rPr>
          <w:rFonts w:cs="Arial"/>
          <w:color w:val="000000"/>
          <w:szCs w:val="24"/>
          <w:lang w:eastAsia="en-GB"/>
        </w:rPr>
      </w:pPr>
      <w:r w:rsidRPr="003E7B5C">
        <w:rPr>
          <w:rFonts w:cs="Arial"/>
          <w:color w:val="000000"/>
          <w:szCs w:val="24"/>
          <w:lang w:eastAsia="en-GB"/>
        </w:rPr>
        <w:t>The remainder of the slippage is for IT and funding for bulge classes and amalgamations which were not needed this financial year.</w:t>
      </w:r>
    </w:p>
    <w:p w:rsidR="003E7B5C" w:rsidRPr="0023213A" w:rsidRDefault="003E7B5C" w:rsidP="00957F91">
      <w:pPr>
        <w:pStyle w:val="ListParagraph"/>
        <w:autoSpaceDE w:val="0"/>
        <w:autoSpaceDN w:val="0"/>
        <w:adjustRightInd w:val="0"/>
        <w:ind w:left="1134"/>
        <w:jc w:val="both"/>
        <w:rPr>
          <w:rFonts w:cs="Arial"/>
          <w:color w:val="000000"/>
          <w:szCs w:val="24"/>
          <w:lang w:eastAsia="en-GB"/>
        </w:rPr>
      </w:pPr>
    </w:p>
    <w:p w:rsidR="00F273F6" w:rsidRPr="0023213A" w:rsidRDefault="00F273F6" w:rsidP="00957F91">
      <w:pPr>
        <w:autoSpaceDE w:val="0"/>
        <w:autoSpaceDN w:val="0"/>
        <w:adjustRightInd w:val="0"/>
        <w:ind w:firstLine="709"/>
        <w:jc w:val="both"/>
        <w:rPr>
          <w:rFonts w:cs="Arial"/>
          <w:b/>
          <w:color w:val="000000"/>
          <w:szCs w:val="24"/>
          <w:lang w:eastAsia="en-GB"/>
        </w:rPr>
      </w:pPr>
      <w:r w:rsidRPr="0023213A">
        <w:rPr>
          <w:rFonts w:cs="Arial"/>
          <w:b/>
          <w:color w:val="000000"/>
          <w:szCs w:val="24"/>
          <w:lang w:eastAsia="en-GB"/>
        </w:rPr>
        <w:t>Secondary Expansion Programme 1 and 2 including Secondary and SEN</w:t>
      </w:r>
    </w:p>
    <w:p w:rsidR="0023213A" w:rsidRPr="00400300" w:rsidRDefault="0023213A" w:rsidP="00957F91">
      <w:pPr>
        <w:pStyle w:val="ListParagraph"/>
        <w:numPr>
          <w:ilvl w:val="0"/>
          <w:numId w:val="114"/>
        </w:numPr>
        <w:autoSpaceDE w:val="0"/>
        <w:autoSpaceDN w:val="0"/>
        <w:adjustRightInd w:val="0"/>
        <w:ind w:left="709" w:hanging="709"/>
        <w:jc w:val="both"/>
        <w:rPr>
          <w:rFonts w:cs="Arial"/>
          <w:color w:val="000000"/>
          <w:szCs w:val="24"/>
          <w:lang w:eastAsia="en-GB"/>
        </w:rPr>
      </w:pPr>
      <w:proofErr w:type="spellStart"/>
      <w:r w:rsidRPr="00400300">
        <w:rPr>
          <w:rFonts w:cs="Arial"/>
          <w:color w:val="000000"/>
          <w:szCs w:val="24"/>
          <w:lang w:eastAsia="en-GB"/>
        </w:rPr>
        <w:t>Engie</w:t>
      </w:r>
      <w:proofErr w:type="spellEnd"/>
      <w:r w:rsidRPr="00400300">
        <w:rPr>
          <w:rFonts w:cs="Arial"/>
          <w:color w:val="000000"/>
          <w:szCs w:val="24"/>
          <w:lang w:eastAsia="en-GB"/>
        </w:rPr>
        <w:t xml:space="preserve"> (formerly Keepmoat), the Council’s Framework Partner was commissioned to deliver the majority of the Phase 1 (SEP1) and Phase 2 (SEP2) construction projects.  The projects in SEP1 and SEP2 have reached Project Completion and the schools are occupying their new accommodation. The directorate is working to resolve a number of building defects with </w:t>
      </w:r>
      <w:proofErr w:type="spellStart"/>
      <w:r w:rsidRPr="00400300">
        <w:rPr>
          <w:rFonts w:cs="Arial"/>
          <w:color w:val="000000"/>
          <w:szCs w:val="24"/>
          <w:lang w:eastAsia="en-GB"/>
        </w:rPr>
        <w:t>Engie</w:t>
      </w:r>
      <w:proofErr w:type="spellEnd"/>
      <w:r w:rsidRPr="00400300">
        <w:rPr>
          <w:rFonts w:cs="Arial"/>
          <w:color w:val="000000"/>
          <w:szCs w:val="24"/>
          <w:lang w:eastAsia="en-GB"/>
        </w:rPr>
        <w:t xml:space="preserve"> post completion. There are on-going contractual issues with </w:t>
      </w:r>
      <w:proofErr w:type="spellStart"/>
      <w:r w:rsidRPr="00400300">
        <w:rPr>
          <w:rFonts w:cs="Arial"/>
          <w:color w:val="000000"/>
          <w:szCs w:val="24"/>
          <w:lang w:eastAsia="en-GB"/>
        </w:rPr>
        <w:t>Engie</w:t>
      </w:r>
      <w:proofErr w:type="spellEnd"/>
      <w:r w:rsidRPr="00400300">
        <w:rPr>
          <w:rFonts w:cs="Arial"/>
          <w:color w:val="000000"/>
          <w:szCs w:val="24"/>
          <w:lang w:eastAsia="en-GB"/>
        </w:rPr>
        <w:t xml:space="preserve"> and the council has appointed Legal and Commercial advisers to secure resolution.</w:t>
      </w:r>
    </w:p>
    <w:p w:rsidR="001E1F78" w:rsidRDefault="001E1F78">
      <w:pPr>
        <w:pStyle w:val="ListParagraph"/>
        <w:ind w:left="567"/>
        <w:jc w:val="both"/>
        <w:rPr>
          <w:rFonts w:cs="Arial"/>
          <w:color w:val="000000"/>
          <w:szCs w:val="24"/>
          <w:highlight w:val="yellow"/>
          <w:lang w:eastAsia="en-GB"/>
        </w:rPr>
      </w:pPr>
    </w:p>
    <w:p w:rsidR="000B4101" w:rsidRDefault="000B4101">
      <w:pPr>
        <w:pStyle w:val="ListParagraph"/>
        <w:ind w:left="567"/>
        <w:jc w:val="both"/>
        <w:rPr>
          <w:rFonts w:cs="Arial"/>
          <w:color w:val="000000"/>
          <w:szCs w:val="24"/>
          <w:highlight w:val="yellow"/>
          <w:lang w:eastAsia="en-GB"/>
        </w:rPr>
      </w:pPr>
    </w:p>
    <w:p w:rsidR="00EC2497" w:rsidRPr="00433F06" w:rsidRDefault="00EC2497" w:rsidP="00957F91">
      <w:pPr>
        <w:pStyle w:val="ListParagraph"/>
        <w:ind w:left="709"/>
        <w:jc w:val="both"/>
        <w:rPr>
          <w:rFonts w:cs="Arial"/>
          <w:b/>
          <w:szCs w:val="24"/>
        </w:rPr>
      </w:pPr>
      <w:r w:rsidRPr="00433F06">
        <w:rPr>
          <w:rFonts w:cs="Arial"/>
          <w:b/>
          <w:szCs w:val="24"/>
        </w:rPr>
        <w:t>Adult Services</w:t>
      </w:r>
    </w:p>
    <w:p w:rsidR="00EC2497" w:rsidRPr="00433F06" w:rsidRDefault="003D21A4" w:rsidP="00957F91">
      <w:pPr>
        <w:pStyle w:val="ListParagraph"/>
        <w:numPr>
          <w:ilvl w:val="0"/>
          <w:numId w:val="114"/>
        </w:numPr>
        <w:ind w:left="709" w:hanging="709"/>
        <w:jc w:val="both"/>
        <w:rPr>
          <w:rFonts w:cs="Arial"/>
          <w:szCs w:val="24"/>
        </w:rPr>
      </w:pPr>
      <w:r w:rsidRPr="00433F06">
        <w:rPr>
          <w:rFonts w:cs="Arial"/>
          <w:szCs w:val="24"/>
        </w:rPr>
        <w:t>The service</w:t>
      </w:r>
      <w:r w:rsidR="00EC2497" w:rsidRPr="00433F06">
        <w:rPr>
          <w:rFonts w:cs="Arial"/>
          <w:szCs w:val="24"/>
        </w:rPr>
        <w:t xml:space="preserve"> spent £</w:t>
      </w:r>
      <w:r w:rsidR="00433F06" w:rsidRPr="00400300">
        <w:rPr>
          <w:rFonts w:cs="Arial"/>
          <w:szCs w:val="24"/>
        </w:rPr>
        <w:t>0.604</w:t>
      </w:r>
      <w:r w:rsidR="00D26244" w:rsidRPr="00433F06">
        <w:rPr>
          <w:rFonts w:cs="Arial"/>
          <w:szCs w:val="24"/>
        </w:rPr>
        <w:t>m</w:t>
      </w:r>
      <w:r w:rsidR="00EC2497" w:rsidRPr="00433F06">
        <w:rPr>
          <w:rFonts w:cs="Arial"/>
          <w:szCs w:val="24"/>
        </w:rPr>
        <w:t xml:space="preserve"> against a budget of £</w:t>
      </w:r>
      <w:r w:rsidR="00433F06" w:rsidRPr="00400300">
        <w:rPr>
          <w:rFonts w:cs="Arial"/>
          <w:szCs w:val="24"/>
        </w:rPr>
        <w:t>1.138</w:t>
      </w:r>
      <w:r w:rsidR="00EC2497" w:rsidRPr="00433F06">
        <w:rPr>
          <w:rFonts w:cs="Arial"/>
          <w:szCs w:val="24"/>
        </w:rPr>
        <w:t xml:space="preserve">m, a </w:t>
      </w:r>
      <w:r w:rsidR="00433F06" w:rsidRPr="00400300">
        <w:rPr>
          <w:rFonts w:cs="Arial"/>
          <w:szCs w:val="24"/>
        </w:rPr>
        <w:t>53</w:t>
      </w:r>
      <w:r w:rsidR="00EC2497" w:rsidRPr="00433F06">
        <w:rPr>
          <w:rFonts w:cs="Arial"/>
          <w:szCs w:val="24"/>
        </w:rPr>
        <w:t>% spend</w:t>
      </w:r>
      <w:r w:rsidR="003D2716" w:rsidRPr="00433F06">
        <w:rPr>
          <w:rFonts w:cs="Arial"/>
          <w:szCs w:val="24"/>
        </w:rPr>
        <w:t>, with a</w:t>
      </w:r>
      <w:r w:rsidR="00D26244" w:rsidRPr="00433F06">
        <w:rPr>
          <w:rFonts w:cs="Arial"/>
          <w:szCs w:val="24"/>
        </w:rPr>
        <w:t xml:space="preserve"> variance of £</w:t>
      </w:r>
      <w:r w:rsidR="00433F06" w:rsidRPr="00400300">
        <w:rPr>
          <w:rFonts w:cs="Arial"/>
          <w:szCs w:val="24"/>
        </w:rPr>
        <w:t>0</w:t>
      </w:r>
      <w:r w:rsidR="00D26244" w:rsidRPr="00433F06">
        <w:rPr>
          <w:rFonts w:cs="Arial"/>
          <w:szCs w:val="24"/>
        </w:rPr>
        <w:t>.</w:t>
      </w:r>
      <w:r w:rsidR="00433F06" w:rsidRPr="00400300">
        <w:rPr>
          <w:rFonts w:cs="Arial"/>
          <w:szCs w:val="24"/>
        </w:rPr>
        <w:t>535</w:t>
      </w:r>
      <w:r w:rsidR="00D26244" w:rsidRPr="00433F06">
        <w:rPr>
          <w:rFonts w:cs="Arial"/>
          <w:szCs w:val="24"/>
        </w:rPr>
        <w:t>m</w:t>
      </w:r>
      <w:r w:rsidR="00B4771D">
        <w:rPr>
          <w:rFonts w:cs="Arial"/>
          <w:szCs w:val="24"/>
        </w:rPr>
        <w:t xml:space="preserve">, </w:t>
      </w:r>
      <w:r w:rsidR="00B4771D" w:rsidRPr="00433F06">
        <w:rPr>
          <w:rFonts w:cs="Arial"/>
          <w:szCs w:val="24"/>
        </w:rPr>
        <w:t>£</w:t>
      </w:r>
      <w:r w:rsidR="00D26244" w:rsidRPr="00433F06">
        <w:rPr>
          <w:rFonts w:cs="Arial"/>
          <w:szCs w:val="24"/>
        </w:rPr>
        <w:t>0</w:t>
      </w:r>
      <w:r w:rsidR="00EC2497" w:rsidRPr="00433F06">
        <w:rPr>
          <w:rFonts w:cs="Arial"/>
          <w:szCs w:val="24"/>
        </w:rPr>
        <w:t>.</w:t>
      </w:r>
      <w:r w:rsidR="009B0C61">
        <w:rPr>
          <w:rFonts w:cs="Arial"/>
          <w:szCs w:val="24"/>
        </w:rPr>
        <w:t>191</w:t>
      </w:r>
      <w:r w:rsidR="00EC2497" w:rsidRPr="00433F06">
        <w:rPr>
          <w:rFonts w:cs="Arial"/>
          <w:szCs w:val="24"/>
        </w:rPr>
        <w:t xml:space="preserve">m </w:t>
      </w:r>
      <w:r w:rsidR="003D2716" w:rsidRPr="00433F06">
        <w:rPr>
          <w:rFonts w:cs="Arial"/>
          <w:szCs w:val="24"/>
        </w:rPr>
        <w:t xml:space="preserve">relating to </w:t>
      </w:r>
      <w:r w:rsidR="00D26244" w:rsidRPr="00433F06">
        <w:rPr>
          <w:rFonts w:cs="Arial"/>
          <w:szCs w:val="24"/>
        </w:rPr>
        <w:t>slipp</w:t>
      </w:r>
      <w:r w:rsidR="00220B2B" w:rsidRPr="00433F06">
        <w:rPr>
          <w:rFonts w:cs="Arial"/>
          <w:szCs w:val="24"/>
        </w:rPr>
        <w:t>age</w:t>
      </w:r>
      <w:r w:rsidR="00D26244" w:rsidRPr="00433F06">
        <w:rPr>
          <w:rFonts w:cs="Arial"/>
          <w:szCs w:val="24"/>
        </w:rPr>
        <w:t xml:space="preserve"> </w:t>
      </w:r>
      <w:r w:rsidR="00B4771D" w:rsidRPr="00433F06">
        <w:rPr>
          <w:rFonts w:cs="Arial"/>
          <w:szCs w:val="24"/>
        </w:rPr>
        <w:t>and a £0.</w:t>
      </w:r>
      <w:r w:rsidR="00B4771D" w:rsidRPr="00400300">
        <w:rPr>
          <w:rFonts w:cs="Arial"/>
          <w:szCs w:val="24"/>
        </w:rPr>
        <w:t>344</w:t>
      </w:r>
      <w:r w:rsidR="00B4771D">
        <w:rPr>
          <w:rFonts w:cs="Arial"/>
          <w:szCs w:val="24"/>
        </w:rPr>
        <w:t>m</w:t>
      </w:r>
      <w:r w:rsidR="00B4771D" w:rsidRPr="00433F06">
        <w:rPr>
          <w:rFonts w:cs="Arial"/>
          <w:szCs w:val="24"/>
        </w:rPr>
        <w:t xml:space="preserve"> net under</w:t>
      </w:r>
      <w:r w:rsidR="00B4771D" w:rsidRPr="00400300">
        <w:rPr>
          <w:rFonts w:cs="Arial"/>
          <w:szCs w:val="24"/>
        </w:rPr>
        <w:t xml:space="preserve"> </w:t>
      </w:r>
      <w:r w:rsidR="00B4771D" w:rsidRPr="00433F06">
        <w:rPr>
          <w:rFonts w:cs="Arial"/>
          <w:szCs w:val="24"/>
        </w:rPr>
        <w:t>spends</w:t>
      </w:r>
      <w:r w:rsidR="00220B2B" w:rsidRPr="00433F06">
        <w:rPr>
          <w:rFonts w:cs="Arial"/>
          <w:szCs w:val="24"/>
        </w:rPr>
        <w:t xml:space="preserve">. </w:t>
      </w:r>
      <w:r w:rsidR="00EC2497" w:rsidRPr="00433F06">
        <w:rPr>
          <w:rFonts w:cs="Arial"/>
          <w:szCs w:val="24"/>
        </w:rPr>
        <w:t xml:space="preserve">The </w:t>
      </w:r>
      <w:r w:rsidR="00220B2B" w:rsidRPr="00433F06">
        <w:rPr>
          <w:rFonts w:cs="Arial"/>
          <w:szCs w:val="24"/>
        </w:rPr>
        <w:t>slippage relates to the following</w:t>
      </w:r>
      <w:r w:rsidR="009B0C61">
        <w:rPr>
          <w:rFonts w:cs="Arial"/>
          <w:szCs w:val="24"/>
        </w:rPr>
        <w:t>:</w:t>
      </w:r>
    </w:p>
    <w:p w:rsidR="00F55530" w:rsidRPr="00400300" w:rsidRDefault="00F55530">
      <w:pPr>
        <w:pStyle w:val="ListParagraph"/>
        <w:suppressAutoHyphens/>
        <w:autoSpaceDE w:val="0"/>
        <w:autoSpaceDN w:val="0"/>
        <w:adjustRightInd w:val="0"/>
        <w:spacing w:after="37"/>
        <w:ind w:left="360"/>
        <w:jc w:val="both"/>
        <w:rPr>
          <w:rFonts w:cs="Arial"/>
          <w:b/>
          <w:color w:val="000000"/>
          <w:szCs w:val="24"/>
          <w:highlight w:val="yellow"/>
          <w:lang w:eastAsia="en-GB"/>
        </w:rPr>
      </w:pPr>
    </w:p>
    <w:p w:rsidR="007457C7" w:rsidRPr="00400300" w:rsidRDefault="00577C13">
      <w:pPr>
        <w:pStyle w:val="ListParagraph"/>
        <w:numPr>
          <w:ilvl w:val="0"/>
          <w:numId w:val="96"/>
        </w:numPr>
        <w:suppressAutoHyphens/>
        <w:autoSpaceDE w:val="0"/>
        <w:autoSpaceDN w:val="0"/>
        <w:adjustRightInd w:val="0"/>
        <w:spacing w:after="37"/>
        <w:ind w:left="1134" w:hanging="425"/>
        <w:contextualSpacing w:val="0"/>
        <w:jc w:val="both"/>
        <w:rPr>
          <w:rFonts w:cs="Arial"/>
          <w:color w:val="000000"/>
          <w:szCs w:val="24"/>
          <w:lang w:eastAsia="en-GB"/>
        </w:rPr>
      </w:pPr>
      <w:r>
        <w:rPr>
          <w:rFonts w:cs="Arial"/>
          <w:color w:val="000000"/>
          <w:szCs w:val="24"/>
          <w:lang w:eastAsia="en-GB"/>
        </w:rPr>
        <w:t xml:space="preserve">Integrated Health Model </w:t>
      </w:r>
      <w:r w:rsidR="007457C7" w:rsidRPr="00400300">
        <w:rPr>
          <w:rFonts w:cs="Arial"/>
          <w:color w:val="000000"/>
          <w:szCs w:val="24"/>
          <w:lang w:eastAsia="en-GB"/>
        </w:rPr>
        <w:t>£0.085m</w:t>
      </w:r>
      <w:r>
        <w:rPr>
          <w:rFonts w:cs="Arial"/>
          <w:color w:val="000000"/>
          <w:szCs w:val="24"/>
          <w:lang w:eastAsia="en-GB"/>
        </w:rPr>
        <w:t xml:space="preserve"> slippage</w:t>
      </w:r>
      <w:r w:rsidR="007457C7" w:rsidRPr="00400300">
        <w:rPr>
          <w:rFonts w:cs="Arial"/>
          <w:color w:val="000000"/>
          <w:szCs w:val="24"/>
          <w:lang w:eastAsia="en-GB"/>
        </w:rPr>
        <w:t>, whilst this project has been finalised, the under spend is being carried forward to enable flexibility to support the Adult Social Care transformation programme during 2019/20 should this be necessary.</w:t>
      </w:r>
    </w:p>
    <w:p w:rsidR="007457C7" w:rsidRPr="00400300" w:rsidRDefault="007457C7" w:rsidP="00400300">
      <w:pPr>
        <w:pStyle w:val="ListParagraph"/>
        <w:suppressAutoHyphens/>
        <w:autoSpaceDE w:val="0"/>
        <w:autoSpaceDN w:val="0"/>
        <w:adjustRightInd w:val="0"/>
        <w:spacing w:after="37"/>
        <w:ind w:left="1134"/>
        <w:contextualSpacing w:val="0"/>
        <w:jc w:val="both"/>
        <w:rPr>
          <w:rFonts w:cs="Arial"/>
          <w:color w:val="000000"/>
          <w:szCs w:val="24"/>
          <w:lang w:eastAsia="en-GB"/>
        </w:rPr>
      </w:pPr>
    </w:p>
    <w:p w:rsidR="007457C7" w:rsidRPr="00400300" w:rsidRDefault="00577C13">
      <w:pPr>
        <w:pStyle w:val="ListParagraph"/>
        <w:numPr>
          <w:ilvl w:val="0"/>
          <w:numId w:val="96"/>
        </w:numPr>
        <w:suppressAutoHyphens/>
        <w:autoSpaceDE w:val="0"/>
        <w:autoSpaceDN w:val="0"/>
        <w:adjustRightInd w:val="0"/>
        <w:spacing w:after="37"/>
        <w:ind w:left="1134" w:hanging="425"/>
        <w:contextualSpacing w:val="0"/>
        <w:jc w:val="both"/>
        <w:rPr>
          <w:rFonts w:cs="Arial"/>
          <w:color w:val="000000"/>
          <w:szCs w:val="24"/>
          <w:lang w:eastAsia="en-GB"/>
        </w:rPr>
      </w:pPr>
      <w:r>
        <w:rPr>
          <w:rFonts w:cs="Arial"/>
          <w:color w:val="000000"/>
          <w:szCs w:val="24"/>
          <w:lang w:eastAsia="en-GB"/>
        </w:rPr>
        <w:lastRenderedPageBreak/>
        <w:t xml:space="preserve">House Residential </w:t>
      </w:r>
      <w:r w:rsidR="007457C7" w:rsidRPr="00400300">
        <w:rPr>
          <w:rFonts w:cs="Arial"/>
          <w:color w:val="000000"/>
          <w:szCs w:val="24"/>
          <w:lang w:eastAsia="en-GB"/>
        </w:rPr>
        <w:t>£0.106m - plans for improvements in place, the majority of which relate to Mailman’s for roof and floor works which were being developed during 2018/19 together with other remodelling as appropriate to maximise service delivery.</w:t>
      </w:r>
    </w:p>
    <w:p w:rsidR="007457C7" w:rsidRPr="00400300" w:rsidRDefault="007457C7" w:rsidP="00400300">
      <w:pPr>
        <w:pStyle w:val="ListParagraph"/>
        <w:jc w:val="both"/>
        <w:rPr>
          <w:rFonts w:cs="Arial"/>
          <w:color w:val="000000"/>
          <w:szCs w:val="24"/>
          <w:lang w:eastAsia="en-GB"/>
        </w:rPr>
      </w:pPr>
    </w:p>
    <w:p w:rsidR="007457C7" w:rsidRPr="00400300" w:rsidRDefault="009B0C61">
      <w:pPr>
        <w:pStyle w:val="ListParagraph"/>
        <w:numPr>
          <w:ilvl w:val="0"/>
          <w:numId w:val="96"/>
        </w:numPr>
        <w:suppressAutoHyphens/>
        <w:autoSpaceDE w:val="0"/>
        <w:autoSpaceDN w:val="0"/>
        <w:adjustRightInd w:val="0"/>
        <w:spacing w:after="37"/>
        <w:ind w:left="1134" w:hanging="425"/>
        <w:contextualSpacing w:val="0"/>
        <w:jc w:val="both"/>
        <w:rPr>
          <w:rFonts w:cs="Arial"/>
          <w:color w:val="000000"/>
          <w:szCs w:val="24"/>
          <w:lang w:eastAsia="en-GB"/>
        </w:rPr>
      </w:pPr>
      <w:r>
        <w:rPr>
          <w:rFonts w:cs="Arial"/>
          <w:color w:val="000000"/>
          <w:szCs w:val="24"/>
          <w:lang w:eastAsia="en-GB"/>
        </w:rPr>
        <w:t>The net underspend of £0.344</w:t>
      </w:r>
      <w:r w:rsidR="007457C7" w:rsidRPr="00400300">
        <w:rPr>
          <w:rFonts w:cs="Arial"/>
          <w:color w:val="000000"/>
          <w:szCs w:val="24"/>
          <w:lang w:eastAsia="en-GB"/>
        </w:rPr>
        <w:t>m relates to Project Infinity which is no longer required given that the project ceased in April 2019.</w:t>
      </w:r>
    </w:p>
    <w:p w:rsidR="00EC1138" w:rsidRDefault="00EC1138">
      <w:pPr>
        <w:suppressAutoHyphens/>
        <w:autoSpaceDE w:val="0"/>
        <w:autoSpaceDN w:val="0"/>
        <w:adjustRightInd w:val="0"/>
        <w:spacing w:after="37"/>
        <w:ind w:left="1094"/>
        <w:jc w:val="both"/>
        <w:rPr>
          <w:rFonts w:cs="Arial"/>
          <w:color w:val="000000"/>
          <w:szCs w:val="24"/>
          <w:highlight w:val="yellow"/>
          <w:lang w:eastAsia="en-GB"/>
        </w:rPr>
      </w:pPr>
    </w:p>
    <w:p w:rsidR="009B0C61" w:rsidRPr="00400300" w:rsidRDefault="009B0C61" w:rsidP="00957F91">
      <w:pPr>
        <w:suppressAutoHyphens/>
        <w:autoSpaceDE w:val="0"/>
        <w:autoSpaceDN w:val="0"/>
        <w:adjustRightInd w:val="0"/>
        <w:spacing w:after="37"/>
        <w:ind w:left="709"/>
        <w:jc w:val="both"/>
        <w:rPr>
          <w:rFonts w:cs="Arial"/>
          <w:b/>
          <w:color w:val="000000"/>
          <w:szCs w:val="24"/>
          <w:lang w:eastAsia="en-GB"/>
        </w:rPr>
      </w:pPr>
      <w:r w:rsidRPr="00400300">
        <w:rPr>
          <w:rFonts w:cs="Arial"/>
          <w:b/>
          <w:color w:val="000000"/>
          <w:szCs w:val="24"/>
          <w:lang w:eastAsia="en-GB"/>
        </w:rPr>
        <w:t>Public Health</w:t>
      </w:r>
    </w:p>
    <w:p w:rsidR="009B0C61" w:rsidRPr="00400300" w:rsidRDefault="009B0C61" w:rsidP="00957F91">
      <w:pPr>
        <w:pStyle w:val="ListParagraph"/>
        <w:numPr>
          <w:ilvl w:val="0"/>
          <w:numId w:val="114"/>
        </w:numPr>
        <w:ind w:left="709" w:hanging="709"/>
        <w:jc w:val="both"/>
        <w:rPr>
          <w:rFonts w:cs="Arial"/>
          <w:szCs w:val="24"/>
        </w:rPr>
      </w:pPr>
      <w:r w:rsidRPr="00400300">
        <w:rPr>
          <w:rFonts w:cs="Arial"/>
          <w:szCs w:val="24"/>
        </w:rPr>
        <w:t>The service had been given Healthy Pupils Capital Fund ring fenced grant of £0.174m for the Water Fountain Project of which £0.039m has been spent with the balance £0.135m slipped into 2019/20 for expenditure committed.</w:t>
      </w:r>
    </w:p>
    <w:p w:rsidR="00C76047" w:rsidRPr="00400300" w:rsidRDefault="00C76047">
      <w:pPr>
        <w:ind w:right="304"/>
        <w:jc w:val="both"/>
        <w:rPr>
          <w:highlight w:val="yellow"/>
        </w:rPr>
      </w:pPr>
    </w:p>
    <w:p w:rsidR="00FC6115" w:rsidRPr="00C95569" w:rsidRDefault="00944063" w:rsidP="00957F91">
      <w:pPr>
        <w:ind w:left="709" w:right="304"/>
        <w:jc w:val="both"/>
        <w:rPr>
          <w:rFonts w:cs="Arial"/>
          <w:b/>
          <w:szCs w:val="24"/>
        </w:rPr>
      </w:pPr>
      <w:r w:rsidRPr="00C95569">
        <w:rPr>
          <w:rFonts w:cs="Arial"/>
          <w:b/>
          <w:szCs w:val="24"/>
        </w:rPr>
        <w:t>Housing Revenue Account</w:t>
      </w:r>
    </w:p>
    <w:p w:rsidR="00C95569" w:rsidRPr="008A4F31" w:rsidRDefault="00220B2B" w:rsidP="00957F91">
      <w:pPr>
        <w:pStyle w:val="ListParagraph"/>
        <w:numPr>
          <w:ilvl w:val="0"/>
          <w:numId w:val="114"/>
        </w:numPr>
        <w:ind w:left="709" w:hanging="709"/>
        <w:jc w:val="both"/>
      </w:pPr>
      <w:r w:rsidRPr="009703D8">
        <w:rPr>
          <w:rFonts w:cs="Arial"/>
          <w:szCs w:val="24"/>
        </w:rPr>
        <w:t>HRA spent £</w:t>
      </w:r>
      <w:r w:rsidR="00C95569" w:rsidRPr="00400300">
        <w:rPr>
          <w:rFonts w:cs="Arial"/>
          <w:szCs w:val="24"/>
        </w:rPr>
        <w:t>7.09</w:t>
      </w:r>
      <w:r w:rsidR="00E237C1" w:rsidRPr="009703D8">
        <w:rPr>
          <w:rFonts w:cs="Arial"/>
          <w:szCs w:val="24"/>
        </w:rPr>
        <w:t>2</w:t>
      </w:r>
      <w:r w:rsidRPr="009703D8">
        <w:rPr>
          <w:rFonts w:cs="Arial"/>
          <w:szCs w:val="24"/>
        </w:rPr>
        <w:t>m against a budget of £</w:t>
      </w:r>
      <w:r w:rsidR="00C95569" w:rsidRPr="00400300">
        <w:rPr>
          <w:rFonts w:cs="Arial"/>
          <w:szCs w:val="24"/>
        </w:rPr>
        <w:t>21.339</w:t>
      </w:r>
      <w:r w:rsidRPr="009703D8">
        <w:rPr>
          <w:rFonts w:cs="Arial"/>
          <w:szCs w:val="24"/>
        </w:rPr>
        <w:t xml:space="preserve">m, including Homes-4-Harrow, </w:t>
      </w:r>
      <w:proofErr w:type="gramStart"/>
      <w:r w:rsidR="00913E33" w:rsidRPr="009703D8">
        <w:rPr>
          <w:rFonts w:cs="Arial"/>
          <w:szCs w:val="24"/>
        </w:rPr>
        <w:t>a spend</w:t>
      </w:r>
      <w:proofErr w:type="gramEnd"/>
      <w:r w:rsidRPr="009703D8">
        <w:rPr>
          <w:rFonts w:cs="Arial"/>
          <w:szCs w:val="24"/>
        </w:rPr>
        <w:t xml:space="preserve"> of 3</w:t>
      </w:r>
      <w:r w:rsidR="00C95569" w:rsidRPr="00400300">
        <w:rPr>
          <w:rFonts w:cs="Arial"/>
          <w:szCs w:val="24"/>
        </w:rPr>
        <w:t>3</w:t>
      </w:r>
      <w:r w:rsidRPr="009703D8">
        <w:rPr>
          <w:rFonts w:cs="Arial"/>
          <w:szCs w:val="24"/>
        </w:rPr>
        <w:t>%. £</w:t>
      </w:r>
      <w:r w:rsidR="00C95569" w:rsidRPr="00400300">
        <w:rPr>
          <w:rFonts w:cs="Arial"/>
          <w:szCs w:val="24"/>
        </w:rPr>
        <w:t>1</w:t>
      </w:r>
      <w:r w:rsidR="00E237C1" w:rsidRPr="009703D8">
        <w:rPr>
          <w:rFonts w:cs="Arial"/>
          <w:szCs w:val="24"/>
        </w:rPr>
        <w:t>0.184</w:t>
      </w:r>
      <w:r w:rsidRPr="009703D8">
        <w:rPr>
          <w:rFonts w:cs="Arial"/>
          <w:szCs w:val="24"/>
        </w:rPr>
        <w:t xml:space="preserve">m will be </w:t>
      </w:r>
      <w:r w:rsidR="00F94AB1" w:rsidRPr="009703D8">
        <w:rPr>
          <w:rFonts w:cs="Arial"/>
          <w:szCs w:val="24"/>
        </w:rPr>
        <w:t>slipped</w:t>
      </w:r>
      <w:r w:rsidRPr="009703D8">
        <w:rPr>
          <w:rFonts w:cs="Arial"/>
          <w:szCs w:val="24"/>
        </w:rPr>
        <w:t xml:space="preserve"> to 2019</w:t>
      </w:r>
      <w:r w:rsidR="00C95569" w:rsidRPr="00400300">
        <w:rPr>
          <w:rFonts w:cs="Arial"/>
          <w:szCs w:val="24"/>
        </w:rPr>
        <w:t>/20</w:t>
      </w:r>
      <w:r w:rsidRPr="009703D8">
        <w:rPr>
          <w:rFonts w:cs="Arial"/>
          <w:szCs w:val="24"/>
        </w:rPr>
        <w:t xml:space="preserve"> </w:t>
      </w:r>
      <w:r w:rsidR="00913E33" w:rsidRPr="009703D8">
        <w:rPr>
          <w:rFonts w:cs="Arial"/>
          <w:szCs w:val="24"/>
        </w:rPr>
        <w:t>leaving a £</w:t>
      </w:r>
      <w:r w:rsidR="00C95569" w:rsidRPr="00400300">
        <w:rPr>
          <w:rFonts w:cs="Arial"/>
          <w:szCs w:val="24"/>
        </w:rPr>
        <w:t>4.06</w:t>
      </w:r>
      <w:r w:rsidR="00E237C1" w:rsidRPr="009703D8">
        <w:rPr>
          <w:rFonts w:cs="Arial"/>
          <w:szCs w:val="24"/>
        </w:rPr>
        <w:t>3</w:t>
      </w:r>
      <w:r w:rsidR="00913E33" w:rsidRPr="009703D8">
        <w:rPr>
          <w:rFonts w:cs="Arial"/>
          <w:szCs w:val="24"/>
        </w:rPr>
        <w:t>m under</w:t>
      </w:r>
      <w:r w:rsidR="0018699E" w:rsidRPr="009703D8">
        <w:rPr>
          <w:rFonts w:cs="Arial"/>
          <w:szCs w:val="24"/>
        </w:rPr>
        <w:t xml:space="preserve"> </w:t>
      </w:r>
      <w:r w:rsidR="00913E33" w:rsidRPr="009703D8">
        <w:rPr>
          <w:rFonts w:cs="Arial"/>
          <w:szCs w:val="24"/>
        </w:rPr>
        <w:t>spends</w:t>
      </w:r>
      <w:r w:rsidRPr="009703D8">
        <w:rPr>
          <w:rFonts w:cs="Arial"/>
          <w:szCs w:val="24"/>
        </w:rPr>
        <w:t xml:space="preserve"> against the programme.</w:t>
      </w:r>
    </w:p>
    <w:p w:rsidR="006513BD" w:rsidRPr="00400300" w:rsidRDefault="006513BD" w:rsidP="004F2132">
      <w:pPr>
        <w:pStyle w:val="ListParagraph"/>
        <w:ind w:left="567"/>
        <w:jc w:val="both"/>
      </w:pPr>
    </w:p>
    <w:p w:rsidR="00C95569" w:rsidRPr="00C95569" w:rsidRDefault="00F94AB1" w:rsidP="00957F91">
      <w:pPr>
        <w:pStyle w:val="ListParagraph"/>
        <w:numPr>
          <w:ilvl w:val="0"/>
          <w:numId w:val="114"/>
        </w:numPr>
        <w:ind w:left="709" w:hanging="709"/>
        <w:jc w:val="both"/>
      </w:pPr>
      <w:r>
        <w:rPr>
          <w:rFonts w:cs="Arial"/>
          <w:szCs w:val="24"/>
        </w:rPr>
        <w:t>The main items of</w:t>
      </w:r>
      <w:r w:rsidR="00C95569" w:rsidRPr="00400300">
        <w:rPr>
          <w:rFonts w:cs="Arial"/>
          <w:szCs w:val="24"/>
        </w:rPr>
        <w:t xml:space="preserve"> slippage is detailed below:</w:t>
      </w:r>
    </w:p>
    <w:p w:rsidR="00F55530" w:rsidRPr="00C95569" w:rsidRDefault="00F55530">
      <w:pPr>
        <w:pStyle w:val="ListParagraph"/>
        <w:ind w:left="357"/>
        <w:jc w:val="both"/>
      </w:pPr>
    </w:p>
    <w:p w:rsidR="00C95569" w:rsidRDefault="00220B2B" w:rsidP="00957F91">
      <w:pPr>
        <w:pStyle w:val="ListParagraph"/>
        <w:numPr>
          <w:ilvl w:val="0"/>
          <w:numId w:val="114"/>
        </w:numPr>
        <w:ind w:left="709" w:hanging="709"/>
        <w:jc w:val="both"/>
        <w:rPr>
          <w:rFonts w:cs="Arial"/>
          <w:szCs w:val="24"/>
        </w:rPr>
      </w:pPr>
      <w:r w:rsidRPr="00C95569">
        <w:rPr>
          <w:rFonts w:cs="Arial"/>
          <w:szCs w:val="24"/>
        </w:rPr>
        <w:t xml:space="preserve"> </w:t>
      </w:r>
      <w:r w:rsidR="00E413BB">
        <w:rPr>
          <w:rFonts w:cs="Arial"/>
          <w:szCs w:val="24"/>
        </w:rPr>
        <w:t>W</w:t>
      </w:r>
      <w:r w:rsidRPr="00C95569">
        <w:rPr>
          <w:rFonts w:cs="Arial"/>
          <w:szCs w:val="24"/>
        </w:rPr>
        <w:t>ith regard to Homes-4-Harrow,</w:t>
      </w:r>
      <w:r w:rsidR="00C95569" w:rsidRPr="00C95569">
        <w:rPr>
          <w:rFonts w:cs="Arial"/>
          <w:szCs w:val="24"/>
        </w:rPr>
        <w:t xml:space="preserve"> £6.114m slippage relates to Grange Farm which now has planning permission and is moving into the procurement phase, and £0.620m relates to the phase 1 of the Infill programme, which is required to complete the scheme. Financing for all schemes in the HRA is being reviewed as part of the planned HRA Business Plan refresh which will be reported to Cabinet. </w:t>
      </w:r>
    </w:p>
    <w:p w:rsidR="00C95569" w:rsidRPr="00F044AD" w:rsidRDefault="00C95569" w:rsidP="00400300">
      <w:pPr>
        <w:pStyle w:val="ListParagraph"/>
        <w:jc w:val="both"/>
        <w:rPr>
          <w:rFonts w:cs="Arial"/>
          <w:szCs w:val="24"/>
        </w:rPr>
      </w:pPr>
    </w:p>
    <w:p w:rsidR="00C95569" w:rsidRDefault="00C95569" w:rsidP="00957F91">
      <w:pPr>
        <w:pStyle w:val="ListParagraph"/>
        <w:numPr>
          <w:ilvl w:val="0"/>
          <w:numId w:val="114"/>
        </w:numPr>
        <w:ind w:left="709" w:hanging="709"/>
        <w:jc w:val="both"/>
        <w:rPr>
          <w:rFonts w:cs="Arial"/>
          <w:szCs w:val="24"/>
        </w:rPr>
      </w:pPr>
      <w:r w:rsidRPr="00400300">
        <w:rPr>
          <w:rFonts w:cs="Arial"/>
          <w:szCs w:val="24"/>
        </w:rPr>
        <w:t>£3.450m</w:t>
      </w:r>
      <w:r w:rsidR="002F4B97">
        <w:rPr>
          <w:rFonts w:cs="Arial"/>
          <w:szCs w:val="24"/>
        </w:rPr>
        <w:t xml:space="preserve"> slippage </w:t>
      </w:r>
      <w:r w:rsidRPr="00400300">
        <w:rPr>
          <w:rFonts w:cs="Arial"/>
          <w:szCs w:val="24"/>
        </w:rPr>
        <w:t>relates to the main Planned Investment programme which prioritises health and safety and compliance works. Of this balance £1.110m has been identified to fund the Housing IT replacement system and set up a client contingency for the New Council House Building programme.</w:t>
      </w:r>
    </w:p>
    <w:p w:rsidR="00EF46C2" w:rsidRPr="00A5478D" w:rsidRDefault="00EF46C2" w:rsidP="004F2132">
      <w:pPr>
        <w:pStyle w:val="ListParagraph"/>
        <w:rPr>
          <w:rFonts w:cs="Arial"/>
          <w:szCs w:val="24"/>
        </w:rPr>
      </w:pPr>
    </w:p>
    <w:p w:rsidR="00EF46C2" w:rsidRPr="00400300" w:rsidRDefault="00EF46C2" w:rsidP="00957F91">
      <w:pPr>
        <w:pStyle w:val="ListParagraph"/>
        <w:numPr>
          <w:ilvl w:val="0"/>
          <w:numId w:val="114"/>
        </w:numPr>
        <w:ind w:left="709" w:hanging="709"/>
        <w:jc w:val="both"/>
        <w:rPr>
          <w:rFonts w:cs="Arial"/>
          <w:szCs w:val="24"/>
        </w:rPr>
      </w:pPr>
      <w:r>
        <w:rPr>
          <w:rFonts w:cs="Arial"/>
          <w:szCs w:val="24"/>
        </w:rPr>
        <w:t>The</w:t>
      </w:r>
      <w:r w:rsidRPr="00EF46C2">
        <w:rPr>
          <w:rFonts w:cs="Arial"/>
          <w:szCs w:val="24"/>
        </w:rPr>
        <w:t xml:space="preserve"> </w:t>
      </w:r>
      <w:r>
        <w:rPr>
          <w:rFonts w:cs="Arial"/>
          <w:szCs w:val="24"/>
        </w:rPr>
        <w:t>un</w:t>
      </w:r>
      <w:r w:rsidRPr="00EF46C2">
        <w:rPr>
          <w:rFonts w:cs="Arial"/>
          <w:szCs w:val="24"/>
        </w:rPr>
        <w:t>der</w:t>
      </w:r>
      <w:r>
        <w:rPr>
          <w:rFonts w:cs="Arial"/>
          <w:szCs w:val="24"/>
        </w:rPr>
        <w:t xml:space="preserve"> </w:t>
      </w:r>
      <w:r w:rsidRPr="00EF46C2">
        <w:rPr>
          <w:rFonts w:cs="Arial"/>
          <w:szCs w:val="24"/>
        </w:rPr>
        <w:t>spend relates to the following</w:t>
      </w:r>
      <w:r w:rsidR="004013AF">
        <w:rPr>
          <w:rFonts w:cs="Arial"/>
          <w:szCs w:val="24"/>
        </w:rPr>
        <w:t>:</w:t>
      </w:r>
    </w:p>
    <w:p w:rsidR="00EF46C2" w:rsidRDefault="00EF46C2" w:rsidP="00957F91">
      <w:pPr>
        <w:pStyle w:val="ListParagraph"/>
        <w:numPr>
          <w:ilvl w:val="0"/>
          <w:numId w:val="166"/>
        </w:numPr>
        <w:ind w:left="1134" w:hanging="425"/>
        <w:jc w:val="both"/>
        <w:rPr>
          <w:rFonts w:cs="Arial"/>
          <w:szCs w:val="24"/>
        </w:rPr>
      </w:pPr>
      <w:r>
        <w:rPr>
          <w:rFonts w:cs="Arial"/>
          <w:szCs w:val="24"/>
        </w:rPr>
        <w:t>Phase 2 of the Infill program (£3,</w:t>
      </w:r>
      <w:r w:rsidR="00CE53A3">
        <w:rPr>
          <w:rFonts w:cs="Arial"/>
          <w:szCs w:val="24"/>
        </w:rPr>
        <w:t>625</w:t>
      </w:r>
      <w:r>
        <w:rPr>
          <w:rFonts w:cs="Arial"/>
          <w:szCs w:val="24"/>
        </w:rPr>
        <w:t>m) - This programme did not commence in 2018/19 due to the withdrawal of borrowing approval by MHCLG. Separate budget provision has been identified in 2019/20; hence this budget is no longer required.</w:t>
      </w:r>
    </w:p>
    <w:p w:rsidR="00EF46C2" w:rsidRDefault="00EF46C2" w:rsidP="004F2132">
      <w:pPr>
        <w:pStyle w:val="ListParagraph"/>
        <w:ind w:left="1491"/>
        <w:jc w:val="both"/>
        <w:rPr>
          <w:rFonts w:cs="Arial"/>
          <w:szCs w:val="24"/>
        </w:rPr>
      </w:pPr>
    </w:p>
    <w:p w:rsidR="002F4B97" w:rsidRDefault="00EF46C2" w:rsidP="00957F91">
      <w:pPr>
        <w:pStyle w:val="ListParagraph"/>
        <w:numPr>
          <w:ilvl w:val="0"/>
          <w:numId w:val="166"/>
        </w:numPr>
        <w:ind w:left="1134" w:hanging="425"/>
        <w:jc w:val="both"/>
        <w:rPr>
          <w:rFonts w:cs="Arial"/>
          <w:szCs w:val="24"/>
        </w:rPr>
      </w:pPr>
      <w:r w:rsidRPr="00EF46C2">
        <w:rPr>
          <w:rFonts w:cs="Arial"/>
          <w:szCs w:val="24"/>
        </w:rPr>
        <w:t xml:space="preserve">Planned investment programme, </w:t>
      </w:r>
      <w:r w:rsidR="00CE53A3">
        <w:rPr>
          <w:rFonts w:cs="Arial"/>
          <w:szCs w:val="24"/>
        </w:rPr>
        <w:t>(</w:t>
      </w:r>
      <w:r w:rsidRPr="00EF46C2">
        <w:rPr>
          <w:rFonts w:cs="Arial"/>
          <w:szCs w:val="24"/>
        </w:rPr>
        <w:t>£0.4</w:t>
      </w:r>
      <w:r w:rsidR="00CE53A3">
        <w:rPr>
          <w:rFonts w:cs="Arial"/>
          <w:szCs w:val="24"/>
        </w:rPr>
        <w:t>38</w:t>
      </w:r>
      <w:r w:rsidRPr="00EF46C2">
        <w:rPr>
          <w:rFonts w:cs="Arial"/>
          <w:szCs w:val="24"/>
        </w:rPr>
        <w:t>m</w:t>
      </w:r>
      <w:r w:rsidR="00CE53A3">
        <w:rPr>
          <w:rFonts w:cs="Arial"/>
          <w:szCs w:val="24"/>
        </w:rPr>
        <w:t>)</w:t>
      </w:r>
      <w:r w:rsidRPr="00EF46C2">
        <w:rPr>
          <w:rFonts w:cs="Arial"/>
          <w:szCs w:val="24"/>
        </w:rPr>
        <w:t>. The costs for works came in lower than expected which have resulted in this underspend.</w:t>
      </w:r>
    </w:p>
    <w:p w:rsidR="00CE53A3" w:rsidRPr="00C851F0" w:rsidRDefault="00CE53A3" w:rsidP="00957F91">
      <w:pPr>
        <w:pStyle w:val="ListParagraph"/>
        <w:rPr>
          <w:rFonts w:cs="Arial"/>
          <w:szCs w:val="24"/>
        </w:rPr>
      </w:pPr>
    </w:p>
    <w:p w:rsidR="00EF46C2" w:rsidRPr="00074EF4" w:rsidRDefault="00EF46C2" w:rsidP="004F2132">
      <w:pPr>
        <w:jc w:val="both"/>
        <w:rPr>
          <w:rFonts w:cs="Arial"/>
          <w:b/>
          <w:color w:val="FF0000"/>
          <w:szCs w:val="24"/>
        </w:rPr>
      </w:pPr>
    </w:p>
    <w:p w:rsidR="00033CFC" w:rsidRPr="007457C7" w:rsidRDefault="00033CFC" w:rsidP="00957F91">
      <w:pPr>
        <w:pStyle w:val="ListParagraph"/>
        <w:numPr>
          <w:ilvl w:val="0"/>
          <w:numId w:val="116"/>
        </w:numPr>
        <w:autoSpaceDE w:val="0"/>
        <w:autoSpaceDN w:val="0"/>
        <w:adjustRightInd w:val="0"/>
        <w:ind w:left="709" w:hanging="709"/>
        <w:jc w:val="both"/>
        <w:rPr>
          <w:rFonts w:cs="Arial"/>
          <w:b/>
          <w:szCs w:val="24"/>
          <w:lang w:val="en-US"/>
        </w:rPr>
      </w:pPr>
      <w:r w:rsidRPr="007457C7">
        <w:rPr>
          <w:rFonts w:cs="Arial"/>
          <w:b/>
          <w:szCs w:val="24"/>
          <w:lang w:val="en-US"/>
        </w:rPr>
        <w:t xml:space="preserve">TIMETABLE FOR </w:t>
      </w:r>
      <w:r w:rsidR="008539D4" w:rsidRPr="007457C7">
        <w:rPr>
          <w:rFonts w:cs="Arial"/>
          <w:b/>
          <w:szCs w:val="24"/>
          <w:lang w:val="en-US"/>
        </w:rPr>
        <w:t>PREPARATION OF DRAFT STATEMENT</w:t>
      </w:r>
      <w:r w:rsidRPr="007457C7">
        <w:rPr>
          <w:rFonts w:cs="Arial"/>
          <w:b/>
          <w:szCs w:val="24"/>
          <w:lang w:val="en-US"/>
        </w:rPr>
        <w:t xml:space="preserve"> AND EXTERNAL AUDIT REVIEW</w:t>
      </w:r>
      <w:r w:rsidR="00DD7468" w:rsidRPr="007457C7">
        <w:rPr>
          <w:rFonts w:cs="Arial"/>
          <w:b/>
          <w:szCs w:val="24"/>
          <w:lang w:val="en-US"/>
        </w:rPr>
        <w:t>.</w:t>
      </w:r>
    </w:p>
    <w:p w:rsidR="00DD7468" w:rsidRPr="007457C7" w:rsidRDefault="00DD7468">
      <w:pPr>
        <w:pStyle w:val="ListParagraph"/>
        <w:autoSpaceDE w:val="0"/>
        <w:autoSpaceDN w:val="0"/>
        <w:adjustRightInd w:val="0"/>
        <w:ind w:left="284"/>
        <w:jc w:val="both"/>
        <w:rPr>
          <w:rFonts w:cs="Arial"/>
          <w:b/>
          <w:szCs w:val="24"/>
          <w:lang w:val="en-US"/>
        </w:rPr>
      </w:pPr>
    </w:p>
    <w:p w:rsidR="00151AAB" w:rsidRPr="007457C7" w:rsidRDefault="00DD7468" w:rsidP="00957F91">
      <w:pPr>
        <w:pStyle w:val="ListParagraph"/>
        <w:numPr>
          <w:ilvl w:val="0"/>
          <w:numId w:val="116"/>
        </w:numPr>
        <w:autoSpaceDE w:val="0"/>
        <w:autoSpaceDN w:val="0"/>
        <w:adjustRightInd w:val="0"/>
        <w:ind w:left="709" w:hanging="709"/>
        <w:jc w:val="both"/>
        <w:rPr>
          <w:rFonts w:cs="Arial"/>
          <w:szCs w:val="24"/>
          <w:lang w:val="en-US"/>
        </w:rPr>
      </w:pPr>
      <w:r w:rsidRPr="007457C7">
        <w:rPr>
          <w:rFonts w:cs="Arial"/>
          <w:szCs w:val="24"/>
        </w:rPr>
        <w:t>All Local Authorities must now have their draft statutory Statement of Accounts published by 31</w:t>
      </w:r>
      <w:r w:rsidRPr="007457C7">
        <w:rPr>
          <w:rFonts w:cs="Arial"/>
          <w:szCs w:val="24"/>
          <w:vertAlign w:val="superscript"/>
        </w:rPr>
        <w:t>st</w:t>
      </w:r>
      <w:r w:rsidRPr="007457C7">
        <w:rPr>
          <w:rFonts w:cs="Arial"/>
          <w:szCs w:val="24"/>
        </w:rPr>
        <w:t xml:space="preserve"> May each year and the audit opinion issued by 31</w:t>
      </w:r>
      <w:r w:rsidRPr="007457C7">
        <w:rPr>
          <w:rFonts w:cs="Arial"/>
          <w:szCs w:val="24"/>
          <w:vertAlign w:val="superscript"/>
        </w:rPr>
        <w:t>st</w:t>
      </w:r>
      <w:r w:rsidRPr="007457C7">
        <w:rPr>
          <w:rFonts w:cs="Arial"/>
          <w:szCs w:val="24"/>
        </w:rPr>
        <w:t xml:space="preserve"> July. </w:t>
      </w:r>
      <w:r w:rsidR="000825E9">
        <w:rPr>
          <w:rFonts w:cs="Arial"/>
          <w:szCs w:val="24"/>
        </w:rPr>
        <w:t xml:space="preserve"> </w:t>
      </w:r>
      <w:r w:rsidR="007539A9">
        <w:rPr>
          <w:rFonts w:cs="Arial"/>
          <w:szCs w:val="24"/>
        </w:rPr>
        <w:t>The Accounts were published by the 31</w:t>
      </w:r>
      <w:r w:rsidR="007539A9" w:rsidRPr="00957F91">
        <w:rPr>
          <w:rFonts w:cs="Arial"/>
          <w:szCs w:val="24"/>
          <w:vertAlign w:val="superscript"/>
        </w:rPr>
        <w:t>st</w:t>
      </w:r>
      <w:r w:rsidR="007539A9">
        <w:rPr>
          <w:rFonts w:cs="Arial"/>
          <w:szCs w:val="24"/>
        </w:rPr>
        <w:t xml:space="preserve"> May deadline and the audit is in progress.</w:t>
      </w:r>
    </w:p>
    <w:p w:rsidR="004F2366" w:rsidRPr="00400300" w:rsidRDefault="004F2366" w:rsidP="00400300">
      <w:pPr>
        <w:pStyle w:val="ListParagraph"/>
        <w:jc w:val="both"/>
        <w:rPr>
          <w:rFonts w:cs="Arial"/>
          <w:szCs w:val="24"/>
          <w:highlight w:val="yellow"/>
          <w:lang w:val="en-US"/>
        </w:rPr>
      </w:pPr>
    </w:p>
    <w:p w:rsidR="009C15DB" w:rsidRPr="007457C7" w:rsidRDefault="009C15DB" w:rsidP="00957F91">
      <w:pPr>
        <w:pStyle w:val="ListParagraph"/>
        <w:numPr>
          <w:ilvl w:val="0"/>
          <w:numId w:val="118"/>
        </w:numPr>
        <w:ind w:left="709" w:hanging="709"/>
        <w:jc w:val="both"/>
        <w:rPr>
          <w:b/>
        </w:rPr>
      </w:pPr>
      <w:r w:rsidRPr="007457C7">
        <w:rPr>
          <w:b/>
        </w:rPr>
        <w:t xml:space="preserve">IMPLICATIONS OF THE RECOMMENDATIONS </w:t>
      </w:r>
    </w:p>
    <w:p w:rsidR="009C15DB" w:rsidRPr="007457C7" w:rsidRDefault="009C15DB" w:rsidP="00400300">
      <w:pPr>
        <w:pStyle w:val="ListParagraph"/>
        <w:jc w:val="both"/>
        <w:rPr>
          <w:b/>
        </w:rPr>
      </w:pPr>
    </w:p>
    <w:p w:rsidR="009C15DB" w:rsidRPr="007457C7" w:rsidRDefault="009C15DB" w:rsidP="00400300">
      <w:pPr>
        <w:pStyle w:val="ListParagraph"/>
        <w:jc w:val="both"/>
      </w:pPr>
      <w:r w:rsidRPr="007457C7">
        <w:t>The recommendations are asking the Cabinet mainly to:</w:t>
      </w:r>
    </w:p>
    <w:p w:rsidR="009C15DB" w:rsidRPr="007457C7" w:rsidRDefault="009C15DB" w:rsidP="00400300">
      <w:pPr>
        <w:pStyle w:val="ListParagraph"/>
        <w:numPr>
          <w:ilvl w:val="0"/>
          <w:numId w:val="140"/>
        </w:numPr>
        <w:jc w:val="both"/>
      </w:pPr>
      <w:r w:rsidRPr="007457C7">
        <w:t>To note the revenue and capital outturn position for the 201</w:t>
      </w:r>
      <w:r w:rsidR="007457C7" w:rsidRPr="00400300">
        <w:t>8</w:t>
      </w:r>
      <w:r w:rsidRPr="007457C7">
        <w:t>/1</w:t>
      </w:r>
      <w:r w:rsidR="007457C7" w:rsidRPr="00400300">
        <w:t>9</w:t>
      </w:r>
    </w:p>
    <w:p w:rsidR="009C15DB" w:rsidRPr="007457C7" w:rsidRDefault="009C15DB" w:rsidP="00400300">
      <w:pPr>
        <w:pStyle w:val="ListParagraph"/>
        <w:numPr>
          <w:ilvl w:val="0"/>
          <w:numId w:val="140"/>
        </w:numPr>
        <w:jc w:val="both"/>
      </w:pPr>
      <w:r w:rsidRPr="007457C7">
        <w:lastRenderedPageBreak/>
        <w:t xml:space="preserve">To note the </w:t>
      </w:r>
      <w:r w:rsidR="00BE2DC6" w:rsidRPr="007457C7">
        <w:t>movement</w:t>
      </w:r>
      <w:r w:rsidRPr="007457C7">
        <w:t xml:space="preserve"> between reserves</w:t>
      </w:r>
    </w:p>
    <w:p w:rsidR="009C15DB" w:rsidRPr="007457C7" w:rsidRDefault="009C15DB" w:rsidP="00400300">
      <w:pPr>
        <w:pStyle w:val="ListParagraph"/>
        <w:numPr>
          <w:ilvl w:val="0"/>
          <w:numId w:val="140"/>
        </w:numPr>
        <w:jc w:val="both"/>
      </w:pPr>
      <w:r w:rsidRPr="007457C7">
        <w:t xml:space="preserve">To note the revenue carry </w:t>
      </w:r>
      <w:r w:rsidR="00BE2DC6" w:rsidRPr="007457C7">
        <w:t>forwards</w:t>
      </w:r>
      <w:r w:rsidRPr="007457C7">
        <w:t xml:space="preserve"> </w:t>
      </w:r>
    </w:p>
    <w:p w:rsidR="009C15DB" w:rsidRDefault="009C15DB" w:rsidP="00400300">
      <w:pPr>
        <w:pStyle w:val="ListParagraph"/>
        <w:numPr>
          <w:ilvl w:val="0"/>
          <w:numId w:val="140"/>
        </w:numPr>
        <w:jc w:val="both"/>
      </w:pPr>
      <w:r w:rsidRPr="007457C7">
        <w:t xml:space="preserve">To note the </w:t>
      </w:r>
      <w:r w:rsidR="00BD3064">
        <w:t>slippages on the Capital Programme</w:t>
      </w:r>
    </w:p>
    <w:p w:rsidR="00957F91" w:rsidRPr="007457C7" w:rsidRDefault="00957F91" w:rsidP="00400300">
      <w:pPr>
        <w:pStyle w:val="ListParagraph"/>
        <w:numPr>
          <w:ilvl w:val="0"/>
          <w:numId w:val="140"/>
        </w:numPr>
        <w:jc w:val="both"/>
      </w:pPr>
      <w:r>
        <w:t xml:space="preserve">To </w:t>
      </w:r>
      <w:r w:rsidRPr="00EF661C">
        <w:t xml:space="preserve">note the Quarter </w:t>
      </w:r>
      <w:r>
        <w:t>4 Commercialisation Update</w:t>
      </w:r>
      <w:r w:rsidRPr="00EF661C">
        <w:t xml:space="preserve"> as specified in Appendix 5</w:t>
      </w:r>
      <w:r>
        <w:t>.</w:t>
      </w:r>
    </w:p>
    <w:p w:rsidR="009C15DB" w:rsidRPr="00400300" w:rsidRDefault="009C15DB" w:rsidP="00400300">
      <w:pPr>
        <w:pStyle w:val="ListParagraph"/>
        <w:ind w:left="1504"/>
        <w:jc w:val="both"/>
        <w:rPr>
          <w:strike/>
          <w:highlight w:val="yellow"/>
        </w:rPr>
      </w:pPr>
    </w:p>
    <w:p w:rsidR="004013AF" w:rsidRDefault="009C15DB" w:rsidP="00400300">
      <w:pPr>
        <w:ind w:left="709"/>
        <w:jc w:val="both"/>
      </w:pPr>
      <w:r w:rsidRPr="007457C7">
        <w:t xml:space="preserve">These </w:t>
      </w:r>
      <w:r w:rsidR="00BE2DC6" w:rsidRPr="007457C7">
        <w:t>recommendations</w:t>
      </w:r>
      <w:r w:rsidRPr="007457C7">
        <w:t xml:space="preserve"> do not affect the</w:t>
      </w:r>
      <w:r w:rsidR="00BE2DC6" w:rsidRPr="007457C7">
        <w:t xml:space="preserve"> Council’s</w:t>
      </w:r>
      <w:r w:rsidRPr="007457C7">
        <w:t xml:space="preserve"> staffing / workforce and </w:t>
      </w:r>
      <w:r w:rsidR="00BE2DC6" w:rsidRPr="007457C7">
        <w:t>have no</w:t>
      </w:r>
      <w:r w:rsidRPr="007457C7">
        <w:t xml:space="preserve"> equalities, procurement, data protection or community safety impact.</w:t>
      </w:r>
    </w:p>
    <w:p w:rsidR="00F361B0" w:rsidRDefault="00F361B0" w:rsidP="00400300">
      <w:pPr>
        <w:ind w:left="709"/>
        <w:jc w:val="both"/>
      </w:pPr>
    </w:p>
    <w:p w:rsidR="00F361B0" w:rsidRDefault="00F361B0" w:rsidP="00B92736">
      <w:pPr>
        <w:jc w:val="both"/>
        <w:rPr>
          <w:b/>
        </w:rPr>
      </w:pPr>
      <w:r>
        <w:t>6</w:t>
      </w:r>
      <w:r w:rsidRPr="00B92736">
        <w:rPr>
          <w:b/>
        </w:rPr>
        <w:t xml:space="preserve">.0 </w:t>
      </w:r>
      <w:r w:rsidRPr="00B92736">
        <w:rPr>
          <w:b/>
        </w:rPr>
        <w:tab/>
        <w:t xml:space="preserve">Ward </w:t>
      </w:r>
      <w:r w:rsidR="00C657C1" w:rsidRPr="00B92736">
        <w:rPr>
          <w:b/>
        </w:rPr>
        <w:t>Councillors’ comments</w:t>
      </w:r>
    </w:p>
    <w:p w:rsidR="00B92736" w:rsidRDefault="00B92736" w:rsidP="00B92736">
      <w:pPr>
        <w:jc w:val="both"/>
        <w:rPr>
          <w:b/>
        </w:rPr>
      </w:pPr>
    </w:p>
    <w:p w:rsidR="00C657C1" w:rsidRDefault="00C657C1" w:rsidP="00B92736">
      <w:pPr>
        <w:jc w:val="both"/>
        <w:rPr>
          <w:b/>
        </w:rPr>
      </w:pPr>
    </w:p>
    <w:p w:rsidR="00C657C1" w:rsidRPr="00C657C1" w:rsidRDefault="00C657C1" w:rsidP="00B92736">
      <w:pPr>
        <w:numPr>
          <w:ilvl w:val="0"/>
          <w:numId w:val="124"/>
        </w:numPr>
        <w:ind w:left="709" w:hanging="709"/>
        <w:jc w:val="both"/>
        <w:rPr>
          <w:b/>
        </w:rPr>
      </w:pPr>
      <w:r w:rsidRPr="00C657C1">
        <w:rPr>
          <w:b/>
        </w:rPr>
        <w:t>PERFORMANCE ISSUES</w:t>
      </w:r>
      <w:r w:rsidRPr="00C657C1">
        <w:rPr>
          <w:b/>
        </w:rPr>
        <w:tab/>
      </w:r>
      <w:r w:rsidRPr="00C657C1">
        <w:rPr>
          <w:b/>
        </w:rPr>
        <w:tab/>
      </w:r>
    </w:p>
    <w:p w:rsidR="00C657C1" w:rsidRPr="00B92736" w:rsidRDefault="00C657C1" w:rsidP="00C657C1">
      <w:pPr>
        <w:jc w:val="both"/>
        <w:rPr>
          <w:lang w:val="en-US"/>
        </w:rPr>
      </w:pPr>
    </w:p>
    <w:p w:rsidR="00C657C1" w:rsidRDefault="00C657C1" w:rsidP="00B92736">
      <w:pPr>
        <w:ind w:firstLine="709"/>
        <w:jc w:val="both"/>
      </w:pPr>
      <w:r w:rsidRPr="00B92736">
        <w:t>Financial performance is considered quarterly to Cabinet.</w:t>
      </w:r>
    </w:p>
    <w:p w:rsidR="00B92736" w:rsidRPr="00B92736" w:rsidRDefault="00B92736" w:rsidP="00B92736">
      <w:pPr>
        <w:ind w:firstLine="709"/>
        <w:jc w:val="both"/>
      </w:pPr>
    </w:p>
    <w:p w:rsidR="00B92736" w:rsidRPr="00B92736" w:rsidRDefault="00B92736" w:rsidP="00B92736">
      <w:pPr>
        <w:jc w:val="both"/>
        <w:rPr>
          <w:b/>
        </w:rPr>
      </w:pPr>
      <w:r>
        <w:rPr>
          <w:b/>
        </w:rPr>
        <w:t>8.0</w:t>
      </w:r>
      <w:r>
        <w:rPr>
          <w:b/>
        </w:rPr>
        <w:tab/>
      </w:r>
      <w:r w:rsidRPr="00B92736">
        <w:rPr>
          <w:b/>
        </w:rPr>
        <w:t>ENVIRONMENTAL IMPACT</w:t>
      </w:r>
    </w:p>
    <w:p w:rsidR="00B92736" w:rsidRPr="00B92736" w:rsidRDefault="00B92736" w:rsidP="00B92736">
      <w:pPr>
        <w:jc w:val="both"/>
        <w:rPr>
          <w:b/>
        </w:rPr>
      </w:pPr>
    </w:p>
    <w:p w:rsidR="00B92736" w:rsidRDefault="00B92736" w:rsidP="00B92736">
      <w:pPr>
        <w:ind w:left="709"/>
        <w:jc w:val="both"/>
      </w:pPr>
      <w:r w:rsidRPr="00B92736">
        <w:t>There is no direct environmental impact</w:t>
      </w:r>
    </w:p>
    <w:p w:rsidR="00B92736" w:rsidRDefault="00B92736" w:rsidP="00B92736">
      <w:pPr>
        <w:ind w:left="709"/>
        <w:jc w:val="both"/>
      </w:pPr>
    </w:p>
    <w:p w:rsidR="00B92736" w:rsidRPr="00B92736" w:rsidRDefault="00B92736" w:rsidP="00B92736">
      <w:pPr>
        <w:jc w:val="both"/>
        <w:rPr>
          <w:b/>
        </w:rPr>
      </w:pPr>
      <w:r>
        <w:rPr>
          <w:b/>
        </w:rPr>
        <w:t>9</w:t>
      </w:r>
      <w:r w:rsidRPr="00B92736">
        <w:rPr>
          <w:b/>
        </w:rPr>
        <w:t>.0</w:t>
      </w:r>
      <w:r w:rsidRPr="00B92736">
        <w:tab/>
      </w:r>
      <w:r w:rsidRPr="00B92736">
        <w:rPr>
          <w:b/>
        </w:rPr>
        <w:t>DATA PROTECTION IMPLICATION</w:t>
      </w:r>
    </w:p>
    <w:p w:rsidR="00B92736" w:rsidRPr="00B92736" w:rsidRDefault="00B92736" w:rsidP="00B92736">
      <w:pPr>
        <w:ind w:left="709"/>
        <w:jc w:val="both"/>
        <w:rPr>
          <w:b/>
        </w:rPr>
      </w:pPr>
    </w:p>
    <w:p w:rsidR="00B92736" w:rsidRPr="00B92736" w:rsidRDefault="00B92736" w:rsidP="00B92736">
      <w:pPr>
        <w:ind w:left="709"/>
        <w:jc w:val="both"/>
      </w:pPr>
      <w:r w:rsidRPr="00B92736">
        <w:rPr>
          <w:b/>
        </w:rPr>
        <w:tab/>
      </w:r>
      <w:r w:rsidRPr="00B92736">
        <w:t>There are no data protection implications</w:t>
      </w:r>
    </w:p>
    <w:p w:rsidR="00B92736" w:rsidRPr="00B92736" w:rsidRDefault="00B92736" w:rsidP="00B92736">
      <w:pPr>
        <w:ind w:left="709"/>
        <w:jc w:val="both"/>
      </w:pPr>
    </w:p>
    <w:p w:rsidR="00B92736" w:rsidRPr="00B92736" w:rsidRDefault="00B92736" w:rsidP="00B92736">
      <w:pPr>
        <w:numPr>
          <w:ilvl w:val="0"/>
          <w:numId w:val="144"/>
        </w:numPr>
        <w:ind w:left="709" w:hanging="709"/>
        <w:jc w:val="both"/>
        <w:rPr>
          <w:b/>
        </w:rPr>
      </w:pPr>
      <w:r w:rsidRPr="00B92736">
        <w:rPr>
          <w:b/>
        </w:rPr>
        <w:t>RISK MANAGEMENT IMPLICATIONS</w:t>
      </w:r>
    </w:p>
    <w:p w:rsidR="00B92736" w:rsidRPr="00B92736" w:rsidRDefault="00B92736" w:rsidP="00B92736">
      <w:pPr>
        <w:jc w:val="both"/>
      </w:pPr>
    </w:p>
    <w:p w:rsidR="00B92736" w:rsidRPr="00B92736" w:rsidRDefault="00B92736" w:rsidP="00B92736">
      <w:pPr>
        <w:ind w:left="709"/>
        <w:jc w:val="both"/>
      </w:pPr>
      <w:r w:rsidRPr="00B92736">
        <w:t>The Key financial risks are managed through the risk management strategy. There is one significant financial risk currently included on the Corporate Risk Register:</w:t>
      </w:r>
    </w:p>
    <w:p w:rsidR="00B92736" w:rsidRPr="00B92736" w:rsidRDefault="00B92736" w:rsidP="00B92736">
      <w:pPr>
        <w:jc w:val="both"/>
      </w:pPr>
    </w:p>
    <w:p w:rsidR="00B92736" w:rsidRPr="00B92736" w:rsidRDefault="00B92736" w:rsidP="00B92736">
      <w:pPr>
        <w:ind w:left="709"/>
        <w:jc w:val="both"/>
      </w:pPr>
      <w:proofErr w:type="gramStart"/>
      <w:r w:rsidRPr="00B92736">
        <w:t>Risk 1 - Inability</w:t>
      </w:r>
      <w:r w:rsidRPr="00B92736">
        <w:rPr>
          <w:bCs/>
        </w:rPr>
        <w:t xml:space="preserve"> to provide services within budget</w:t>
      </w:r>
      <w:r w:rsidRPr="00B92736">
        <w:t>.</w:t>
      </w:r>
      <w:proofErr w:type="gramEnd"/>
      <w:r w:rsidRPr="00B92736">
        <w:t xml:space="preserve">  This risk is currently rated at B1, High Likelihood/Catastrophic Impact. </w:t>
      </w:r>
    </w:p>
    <w:p w:rsidR="00C657C1" w:rsidRDefault="00C657C1" w:rsidP="00B92736">
      <w:pPr>
        <w:jc w:val="both"/>
      </w:pPr>
    </w:p>
    <w:p w:rsidR="009C15DB" w:rsidRPr="00400300" w:rsidRDefault="009C15DB" w:rsidP="00400300">
      <w:pPr>
        <w:ind w:firstLine="720"/>
        <w:jc w:val="both"/>
        <w:rPr>
          <w:highlight w:val="yellow"/>
        </w:rPr>
      </w:pPr>
    </w:p>
    <w:p w:rsidR="009C15DB" w:rsidRPr="00957F91" w:rsidRDefault="00B92736" w:rsidP="00957F91">
      <w:pPr>
        <w:ind w:left="709" w:hanging="709"/>
        <w:jc w:val="both"/>
        <w:rPr>
          <w:b/>
        </w:rPr>
      </w:pPr>
      <w:r>
        <w:rPr>
          <w:b/>
        </w:rPr>
        <w:t>11</w:t>
      </w:r>
      <w:r w:rsidR="00C0693D">
        <w:rPr>
          <w:b/>
        </w:rPr>
        <w:t>.0</w:t>
      </w:r>
      <w:r w:rsidR="00C0693D">
        <w:rPr>
          <w:b/>
        </w:rPr>
        <w:tab/>
      </w:r>
      <w:r w:rsidR="00C0693D">
        <w:rPr>
          <w:b/>
        </w:rPr>
        <w:tab/>
      </w:r>
      <w:r w:rsidR="009C15DB" w:rsidRPr="00957F91">
        <w:rPr>
          <w:b/>
        </w:rPr>
        <w:t>PROCUREMENT IMPLICATIONS</w:t>
      </w:r>
    </w:p>
    <w:p w:rsidR="009C15DB" w:rsidRPr="007457C7" w:rsidRDefault="009C15DB" w:rsidP="00400300">
      <w:pPr>
        <w:pStyle w:val="ListParagraph"/>
        <w:ind w:left="709"/>
        <w:jc w:val="both"/>
        <w:rPr>
          <w:b/>
        </w:rPr>
      </w:pPr>
    </w:p>
    <w:p w:rsidR="009C15DB" w:rsidRDefault="009C15DB" w:rsidP="00400300">
      <w:pPr>
        <w:pStyle w:val="ListParagraph"/>
        <w:ind w:left="709"/>
        <w:jc w:val="both"/>
      </w:pPr>
      <w:r w:rsidRPr="007457C7">
        <w:t>There are no procurement implications arising from this report</w:t>
      </w:r>
    </w:p>
    <w:p w:rsidR="002148A3" w:rsidRPr="00400300" w:rsidRDefault="002148A3" w:rsidP="00400300">
      <w:pPr>
        <w:pStyle w:val="ListParagraph"/>
        <w:ind w:left="709"/>
        <w:jc w:val="both"/>
        <w:rPr>
          <w:b/>
          <w:highlight w:val="yellow"/>
        </w:rPr>
      </w:pPr>
    </w:p>
    <w:p w:rsidR="00E22550" w:rsidRPr="007457C7" w:rsidRDefault="002148A3" w:rsidP="00957F91">
      <w:pPr>
        <w:pStyle w:val="ListParagraph"/>
        <w:numPr>
          <w:ilvl w:val="0"/>
          <w:numId w:val="141"/>
        </w:numPr>
        <w:ind w:left="709" w:hanging="709"/>
        <w:jc w:val="both"/>
        <w:rPr>
          <w:b/>
        </w:rPr>
      </w:pPr>
      <w:r w:rsidRPr="007457C7">
        <w:rPr>
          <w:b/>
        </w:rPr>
        <w:t xml:space="preserve"> </w:t>
      </w:r>
      <w:r w:rsidR="00C767C6" w:rsidRPr="007457C7">
        <w:rPr>
          <w:b/>
        </w:rPr>
        <w:t>LEGAL IMPLICATIONS</w:t>
      </w:r>
    </w:p>
    <w:p w:rsidR="00C360D5" w:rsidRPr="007457C7" w:rsidRDefault="00C360D5">
      <w:pPr>
        <w:jc w:val="both"/>
        <w:rPr>
          <w:b/>
        </w:rPr>
      </w:pPr>
    </w:p>
    <w:p w:rsidR="00630716" w:rsidRDefault="00630716" w:rsidP="00C0693D">
      <w:pPr>
        <w:pStyle w:val="ListParagraph"/>
        <w:autoSpaceDE w:val="0"/>
        <w:autoSpaceDN w:val="0"/>
        <w:adjustRightInd w:val="0"/>
        <w:ind w:left="709"/>
        <w:jc w:val="both"/>
        <w:rPr>
          <w:rFonts w:cs="Arial"/>
          <w:szCs w:val="24"/>
          <w:lang w:val="en-US"/>
        </w:rPr>
      </w:pPr>
      <w:r w:rsidRPr="007457C7">
        <w:rPr>
          <w:rFonts w:cs="Arial"/>
          <w:szCs w:val="24"/>
          <w:lang w:val="en-US"/>
        </w:rPr>
        <w:t>Section 151 of the Local Government Act 1972 states that</w:t>
      </w:r>
      <w:r w:rsidR="006E037A" w:rsidRPr="007457C7">
        <w:rPr>
          <w:rFonts w:cs="Arial"/>
          <w:szCs w:val="24"/>
          <w:lang w:val="en-US"/>
        </w:rPr>
        <w:t>, “</w:t>
      </w:r>
      <w:r w:rsidRPr="007457C7">
        <w:rPr>
          <w:rFonts w:cs="Arial"/>
          <w:szCs w:val="24"/>
          <w:lang w:val="en-US"/>
        </w:rPr>
        <w:t>without prejudice to section 111, every local authority shall make arrangements for the proper administration of their financial affairs and shall secure that one of their officers has responsibility for the administration of those affairs”</w:t>
      </w:r>
      <w:r w:rsidRPr="000F0C4F">
        <w:rPr>
          <w:rFonts w:cs="Arial"/>
          <w:szCs w:val="24"/>
          <w:lang w:val="en-US"/>
        </w:rPr>
        <w:t xml:space="preserve"> </w:t>
      </w:r>
    </w:p>
    <w:p w:rsidR="00342FA2" w:rsidRPr="00D36305" w:rsidRDefault="00342FA2">
      <w:pPr>
        <w:autoSpaceDE w:val="0"/>
        <w:autoSpaceDN w:val="0"/>
        <w:adjustRightInd w:val="0"/>
        <w:ind w:left="14"/>
        <w:jc w:val="both"/>
        <w:rPr>
          <w:rFonts w:cs="Arial"/>
          <w:szCs w:val="24"/>
          <w:lang w:val="en-US"/>
        </w:rPr>
      </w:pPr>
    </w:p>
    <w:p w:rsidR="00DA7D37" w:rsidRPr="005C4C1A" w:rsidRDefault="00630716" w:rsidP="00C0693D">
      <w:pPr>
        <w:pStyle w:val="ListParagraph"/>
        <w:autoSpaceDE w:val="0"/>
        <w:autoSpaceDN w:val="0"/>
        <w:adjustRightInd w:val="0"/>
        <w:spacing w:after="240"/>
        <w:ind w:left="709"/>
        <w:jc w:val="both"/>
        <w:rPr>
          <w:rFonts w:cs="Arial"/>
          <w:i/>
          <w:color w:val="000000"/>
        </w:rPr>
      </w:pPr>
      <w:r w:rsidRPr="00281EA0">
        <w:rPr>
          <w:rFonts w:cs="Arial"/>
          <w:szCs w:val="24"/>
          <w:lang w:val="en-US"/>
        </w:rPr>
        <w:t>Section 28 of the Local</w:t>
      </w:r>
      <w:r w:rsidRPr="004160E4">
        <w:rPr>
          <w:rFonts w:cs="Arial"/>
          <w:szCs w:val="24"/>
          <w:lang w:val="en-US"/>
        </w:rPr>
        <w:t xml:space="preserve"> government Act 2003 imposes a statutory duty on a billing or major </w:t>
      </w:r>
      <w:proofErr w:type="spellStart"/>
      <w:r w:rsidRPr="004160E4">
        <w:rPr>
          <w:rFonts w:cs="Arial"/>
          <w:szCs w:val="24"/>
          <w:lang w:val="en-US"/>
        </w:rPr>
        <w:t>precepting</w:t>
      </w:r>
      <w:proofErr w:type="spellEnd"/>
      <w:r w:rsidRPr="004160E4">
        <w:rPr>
          <w:rFonts w:cs="Arial"/>
          <w:szCs w:val="24"/>
          <w:lang w:val="en-US"/>
        </w:rPr>
        <w:t xml:space="preserve"> authority to monitor, during the financial year, its income and</w:t>
      </w:r>
      <w:r w:rsidRPr="000F0C4F">
        <w:rPr>
          <w:rFonts w:cs="Arial"/>
          <w:szCs w:val="24"/>
          <w:lang w:val="en-US"/>
        </w:rPr>
        <w:t xml:space="preserve"> expenditure against budget calculations.</w:t>
      </w:r>
    </w:p>
    <w:p w:rsidR="001E5EA0" w:rsidRPr="005C4C1A" w:rsidRDefault="001E5EA0">
      <w:pPr>
        <w:pStyle w:val="ListParagraph"/>
        <w:jc w:val="both"/>
        <w:rPr>
          <w:rFonts w:cs="Arial"/>
          <w:i/>
          <w:color w:val="000000"/>
        </w:rPr>
      </w:pPr>
    </w:p>
    <w:p w:rsidR="001E5EA0" w:rsidRPr="005C4C1A" w:rsidRDefault="0000141B" w:rsidP="00C0693D">
      <w:pPr>
        <w:pStyle w:val="ListParagraph"/>
        <w:autoSpaceDE w:val="0"/>
        <w:autoSpaceDN w:val="0"/>
        <w:adjustRightInd w:val="0"/>
        <w:spacing w:after="240"/>
        <w:ind w:left="709"/>
        <w:jc w:val="both"/>
        <w:rPr>
          <w:rFonts w:cs="Arial"/>
          <w:szCs w:val="24"/>
          <w:lang w:val="en-US"/>
        </w:rPr>
      </w:pPr>
      <w:r>
        <w:rPr>
          <w:rFonts w:cs="Arial"/>
          <w:szCs w:val="24"/>
          <w:lang w:val="en-US"/>
        </w:rPr>
        <w:t xml:space="preserve">Under </w:t>
      </w:r>
      <w:r w:rsidR="001E5EA0" w:rsidRPr="005C4C1A">
        <w:rPr>
          <w:rFonts w:cs="Arial"/>
          <w:szCs w:val="24"/>
          <w:lang w:val="en-US"/>
        </w:rPr>
        <w:t>B66</w:t>
      </w:r>
      <w:r w:rsidR="00104B8B">
        <w:rPr>
          <w:rFonts w:cs="Arial"/>
          <w:szCs w:val="24"/>
          <w:lang w:val="en-US"/>
        </w:rPr>
        <w:t xml:space="preserve"> </w:t>
      </w:r>
      <w:r>
        <w:rPr>
          <w:rFonts w:cs="Arial"/>
          <w:szCs w:val="24"/>
          <w:lang w:val="en-US"/>
        </w:rPr>
        <w:t>of the Financial Regulations</w:t>
      </w:r>
      <w:r w:rsidR="00C227B1">
        <w:rPr>
          <w:rFonts w:cs="Arial"/>
          <w:szCs w:val="24"/>
          <w:lang w:val="en-US"/>
        </w:rPr>
        <w:t>,</w:t>
      </w:r>
      <w:r>
        <w:rPr>
          <w:rFonts w:cs="Arial"/>
          <w:szCs w:val="24"/>
          <w:lang w:val="en-US"/>
        </w:rPr>
        <w:t xml:space="preserve"> </w:t>
      </w:r>
      <w:r w:rsidR="00C227B1">
        <w:rPr>
          <w:rFonts w:cs="Arial"/>
          <w:szCs w:val="24"/>
          <w:lang w:val="en-US"/>
        </w:rPr>
        <w:t>a</w:t>
      </w:r>
      <w:r w:rsidR="001E5EA0" w:rsidRPr="005C4C1A">
        <w:rPr>
          <w:rFonts w:cs="Arial"/>
          <w:szCs w:val="24"/>
          <w:lang w:val="en-US"/>
        </w:rPr>
        <w:t xml:space="preserve"> year-end balance is the amount by which actual income and expenditure varies from the final budget, normally identified down to budget manager level. Unspent balances will not be carried forward, except with the permission of the CFO. Unspent balances will only be considered for carry forward where;</w:t>
      </w:r>
    </w:p>
    <w:p w:rsidR="001E5EA0" w:rsidRPr="005C4C1A" w:rsidRDefault="001E5EA0">
      <w:pPr>
        <w:pStyle w:val="ListParagraph"/>
        <w:jc w:val="both"/>
        <w:rPr>
          <w:rFonts w:cs="Arial"/>
          <w:szCs w:val="24"/>
          <w:lang w:val="en-US"/>
        </w:rPr>
      </w:pPr>
    </w:p>
    <w:p w:rsidR="001E5EA0" w:rsidRPr="005C4C1A" w:rsidRDefault="001E5EA0">
      <w:pPr>
        <w:pStyle w:val="ListParagraph"/>
        <w:numPr>
          <w:ilvl w:val="0"/>
          <w:numId w:val="99"/>
        </w:numPr>
        <w:autoSpaceDE w:val="0"/>
        <w:autoSpaceDN w:val="0"/>
        <w:adjustRightInd w:val="0"/>
        <w:spacing w:after="240"/>
        <w:jc w:val="both"/>
        <w:rPr>
          <w:rFonts w:cs="Arial"/>
          <w:szCs w:val="24"/>
          <w:lang w:val="en-US"/>
        </w:rPr>
      </w:pPr>
      <w:r w:rsidRPr="005C4C1A">
        <w:rPr>
          <w:rFonts w:cs="Arial"/>
          <w:szCs w:val="24"/>
          <w:lang w:val="en-US"/>
        </w:rPr>
        <w:lastRenderedPageBreak/>
        <w:t>There is an unspent ring fenced grant and grant must be repaid if it is not spent on its intended purpose.</w:t>
      </w:r>
    </w:p>
    <w:p w:rsidR="001E5EA0" w:rsidRPr="005C4C1A" w:rsidRDefault="001E5EA0">
      <w:pPr>
        <w:pStyle w:val="ListParagraph"/>
        <w:numPr>
          <w:ilvl w:val="0"/>
          <w:numId w:val="99"/>
        </w:numPr>
        <w:autoSpaceDE w:val="0"/>
        <w:autoSpaceDN w:val="0"/>
        <w:adjustRightInd w:val="0"/>
        <w:spacing w:after="240"/>
        <w:jc w:val="both"/>
        <w:rPr>
          <w:rFonts w:cs="Arial"/>
          <w:szCs w:val="24"/>
          <w:lang w:val="en-US"/>
        </w:rPr>
      </w:pPr>
      <w:r w:rsidRPr="005C4C1A">
        <w:rPr>
          <w:rFonts w:cs="Arial"/>
          <w:szCs w:val="24"/>
          <w:lang w:val="en-US"/>
        </w:rPr>
        <w:t>Funding has been allocated to a specific project and the project is not yet complete, and both the directorate and the Council in total are not overspent.</w:t>
      </w:r>
    </w:p>
    <w:p w:rsidR="001E5EA0" w:rsidRPr="005C4C1A" w:rsidRDefault="001E5EA0">
      <w:pPr>
        <w:pStyle w:val="ListParagraph"/>
        <w:numPr>
          <w:ilvl w:val="0"/>
          <w:numId w:val="99"/>
        </w:numPr>
        <w:autoSpaceDE w:val="0"/>
        <w:autoSpaceDN w:val="0"/>
        <w:adjustRightInd w:val="0"/>
        <w:spacing w:after="240"/>
        <w:jc w:val="both"/>
        <w:rPr>
          <w:rFonts w:cs="Arial"/>
          <w:szCs w:val="24"/>
          <w:lang w:val="en-US"/>
        </w:rPr>
      </w:pPr>
      <w:r w:rsidRPr="005C4C1A">
        <w:rPr>
          <w:rFonts w:cs="Arial"/>
          <w:szCs w:val="24"/>
          <w:lang w:val="en-US"/>
        </w:rPr>
        <w:t>External funding has been received for a specific project which is not yet complete.</w:t>
      </w:r>
    </w:p>
    <w:p w:rsidR="00AA3101" w:rsidRDefault="00AA3101">
      <w:pPr>
        <w:pStyle w:val="ListParagraph"/>
        <w:autoSpaceDE w:val="0"/>
        <w:autoSpaceDN w:val="0"/>
        <w:adjustRightInd w:val="0"/>
        <w:spacing w:after="240"/>
        <w:ind w:left="360"/>
        <w:jc w:val="both"/>
        <w:rPr>
          <w:rFonts w:cs="Arial"/>
          <w:i/>
          <w:color w:val="000000"/>
        </w:rPr>
      </w:pPr>
    </w:p>
    <w:p w:rsidR="00696FC4" w:rsidRDefault="00C767C6" w:rsidP="00957F91">
      <w:pPr>
        <w:pStyle w:val="ListParagraph"/>
        <w:numPr>
          <w:ilvl w:val="0"/>
          <w:numId w:val="123"/>
        </w:numPr>
        <w:ind w:left="709" w:hanging="709"/>
        <w:jc w:val="both"/>
        <w:rPr>
          <w:b/>
        </w:rPr>
      </w:pPr>
      <w:r w:rsidRPr="00AA3B74">
        <w:rPr>
          <w:b/>
        </w:rPr>
        <w:t>FINANCIAL IMPLICATIONS</w:t>
      </w:r>
    </w:p>
    <w:p w:rsidR="001B4C3D" w:rsidRPr="00AA3B74" w:rsidRDefault="001B4C3D">
      <w:pPr>
        <w:pStyle w:val="ListParagraph"/>
        <w:ind w:left="360"/>
        <w:jc w:val="both"/>
        <w:rPr>
          <w:b/>
        </w:rPr>
      </w:pPr>
    </w:p>
    <w:p w:rsidR="00696FC4" w:rsidRDefault="00696FC4" w:rsidP="00957F91">
      <w:pPr>
        <w:pStyle w:val="ListParagraph"/>
        <w:ind w:left="709"/>
        <w:jc w:val="both"/>
        <w:rPr>
          <w:rFonts w:cs="Arial"/>
        </w:rPr>
      </w:pPr>
      <w:r w:rsidRPr="000F0C4F">
        <w:rPr>
          <w:rFonts w:cs="Arial"/>
        </w:rPr>
        <w:t xml:space="preserve">Financial </w:t>
      </w:r>
      <w:r w:rsidR="00A04B5A">
        <w:rPr>
          <w:rFonts w:cs="Arial"/>
        </w:rPr>
        <w:t>implications are contained within the body of the report.</w:t>
      </w:r>
    </w:p>
    <w:p w:rsidR="001B4C3D" w:rsidRPr="00DD7468" w:rsidRDefault="001B4C3D">
      <w:pPr>
        <w:pStyle w:val="ListParagraph"/>
        <w:jc w:val="both"/>
        <w:rPr>
          <w:rFonts w:cs="Arial"/>
        </w:rPr>
      </w:pPr>
    </w:p>
    <w:p w:rsidR="001B4C3D" w:rsidRDefault="001B4C3D">
      <w:pPr>
        <w:pStyle w:val="infotext0"/>
        <w:spacing w:before="0" w:beforeAutospacing="0" w:after="0" w:afterAutospacing="0"/>
        <w:ind w:left="360"/>
        <w:jc w:val="both"/>
        <w:rPr>
          <w:rFonts w:ascii="Arial" w:hAnsi="Arial" w:cs="Arial"/>
        </w:rPr>
      </w:pPr>
    </w:p>
    <w:p w:rsidR="001B4C3D" w:rsidRDefault="001B4C3D" w:rsidP="00957F91">
      <w:pPr>
        <w:pStyle w:val="ListParagraph"/>
        <w:numPr>
          <w:ilvl w:val="0"/>
          <w:numId w:val="143"/>
        </w:numPr>
        <w:ind w:left="709" w:hanging="709"/>
        <w:jc w:val="both"/>
        <w:rPr>
          <w:b/>
          <w:szCs w:val="24"/>
        </w:rPr>
      </w:pPr>
      <w:r w:rsidRPr="00A37874">
        <w:rPr>
          <w:b/>
          <w:szCs w:val="24"/>
        </w:rPr>
        <w:t>EQUALITIES IMPLICATIONS</w:t>
      </w:r>
      <w:r w:rsidR="00E849CF" w:rsidRPr="00A37874">
        <w:rPr>
          <w:b/>
          <w:szCs w:val="24"/>
        </w:rPr>
        <w:t xml:space="preserve"> / PUBLIC SECTOR EQUALITY DUTY</w:t>
      </w:r>
    </w:p>
    <w:p w:rsidR="00957F91" w:rsidRDefault="00957F91" w:rsidP="00957F91">
      <w:pPr>
        <w:pStyle w:val="ListParagraph"/>
        <w:ind w:left="709"/>
        <w:jc w:val="both"/>
        <w:rPr>
          <w:b/>
          <w:szCs w:val="24"/>
        </w:rPr>
      </w:pPr>
    </w:p>
    <w:p w:rsidR="00957F91" w:rsidRPr="00A61E81" w:rsidRDefault="00957F91" w:rsidP="00957F91">
      <w:pPr>
        <w:pStyle w:val="ListParagraph"/>
        <w:ind w:left="709"/>
        <w:jc w:val="both"/>
        <w:rPr>
          <w:szCs w:val="24"/>
        </w:rPr>
      </w:pPr>
      <w:r>
        <w:rPr>
          <w:szCs w:val="24"/>
        </w:rPr>
        <w:t xml:space="preserve">There is no direct equalities impact. </w:t>
      </w:r>
    </w:p>
    <w:p w:rsidR="001B4C3D" w:rsidRPr="000F0C4F" w:rsidRDefault="001B4C3D">
      <w:pPr>
        <w:pStyle w:val="ListParagraph"/>
        <w:ind w:left="360"/>
        <w:jc w:val="both"/>
        <w:rPr>
          <w:rFonts w:cs="Arial"/>
        </w:rPr>
      </w:pPr>
    </w:p>
    <w:p w:rsidR="007D2CD1" w:rsidRDefault="00547D1F" w:rsidP="00957F91">
      <w:pPr>
        <w:pStyle w:val="ListParagraph"/>
        <w:ind w:left="709"/>
        <w:jc w:val="both"/>
      </w:pPr>
      <w:r>
        <w:rPr>
          <w:rFonts w:cs="Arial"/>
        </w:rPr>
        <w:t xml:space="preserve">The MTFS savings </w:t>
      </w:r>
      <w:r w:rsidR="0000141B" w:rsidRPr="0000141B">
        <w:rPr>
          <w:rFonts w:cs="Arial"/>
        </w:rPr>
        <w:t xml:space="preserve">have had equality impact </w:t>
      </w:r>
      <w:r w:rsidR="00C227B1" w:rsidRPr="0000141B">
        <w:rPr>
          <w:rFonts w:cs="Arial"/>
        </w:rPr>
        <w:t>assessments</w:t>
      </w:r>
      <w:r w:rsidR="0000141B" w:rsidRPr="0000141B">
        <w:rPr>
          <w:rFonts w:cs="Arial"/>
        </w:rPr>
        <w:t xml:space="preserve"> completed on them where required and these have been published with the budget setting report.</w:t>
      </w:r>
      <w:r w:rsidR="007D2CD1" w:rsidDel="007D2CD1">
        <w:t xml:space="preserve"> </w:t>
      </w:r>
    </w:p>
    <w:p w:rsidR="00845775" w:rsidRDefault="00845775">
      <w:pPr>
        <w:pStyle w:val="ListParagraph"/>
        <w:ind w:left="567"/>
        <w:jc w:val="both"/>
        <w:rPr>
          <w:b/>
        </w:rPr>
      </w:pPr>
    </w:p>
    <w:p w:rsidR="00EC44F3" w:rsidRPr="003F0D6F" w:rsidRDefault="00B92736" w:rsidP="003F0D6F">
      <w:pPr>
        <w:jc w:val="both"/>
        <w:rPr>
          <w:b/>
        </w:rPr>
      </w:pPr>
      <w:r>
        <w:rPr>
          <w:b/>
        </w:rPr>
        <w:t>15.0</w:t>
      </w:r>
      <w:r>
        <w:rPr>
          <w:b/>
        </w:rPr>
        <w:tab/>
      </w:r>
      <w:r w:rsidR="00EC44F3" w:rsidRPr="003F0D6F">
        <w:rPr>
          <w:b/>
        </w:rPr>
        <w:t>CORPORATE PRIORITIES</w:t>
      </w:r>
    </w:p>
    <w:p w:rsidR="00EC44F3" w:rsidRDefault="00EC44F3">
      <w:pPr>
        <w:pStyle w:val="Style12ptJustified"/>
        <w:ind w:left="284"/>
        <w:jc w:val="both"/>
        <w:rPr>
          <w:b/>
        </w:rPr>
      </w:pPr>
    </w:p>
    <w:p w:rsidR="00EC44F3" w:rsidRDefault="00F309B7" w:rsidP="00957F91">
      <w:pPr>
        <w:pStyle w:val="Style12ptJustified"/>
        <w:ind w:left="709"/>
        <w:jc w:val="both"/>
        <w:rPr>
          <w:rFonts w:cs="Arial"/>
        </w:rPr>
      </w:pPr>
      <w:r w:rsidRPr="00F309B7">
        <w:rPr>
          <w:rFonts w:cs="Arial"/>
        </w:rPr>
        <w:t xml:space="preserve">The </w:t>
      </w:r>
      <w:r>
        <w:rPr>
          <w:rFonts w:cs="Arial"/>
        </w:rPr>
        <w:t xml:space="preserve">Council’s Outturn Report </w:t>
      </w:r>
      <w:r w:rsidRPr="00F309B7">
        <w:rPr>
          <w:rFonts w:cs="Arial"/>
        </w:rPr>
        <w:t>for 20</w:t>
      </w:r>
      <w:r>
        <w:rPr>
          <w:rFonts w:cs="Arial"/>
        </w:rPr>
        <w:t>18</w:t>
      </w:r>
      <w:r w:rsidR="00724573">
        <w:rPr>
          <w:rFonts w:cs="Arial"/>
        </w:rPr>
        <w:t>/19</w:t>
      </w:r>
      <w:r w:rsidRPr="00F309B7">
        <w:rPr>
          <w:rFonts w:cs="Arial"/>
        </w:rPr>
        <w:t xml:space="preserve"> has been prepared in line with the Council’s vision</w:t>
      </w:r>
      <w:r>
        <w:rPr>
          <w:rFonts w:cs="Arial"/>
        </w:rPr>
        <w:t>:</w:t>
      </w:r>
    </w:p>
    <w:p w:rsidR="00EC44F3" w:rsidRDefault="00EC44F3">
      <w:pPr>
        <w:pStyle w:val="ListParagraph"/>
        <w:jc w:val="both"/>
        <w:rPr>
          <w:rFonts w:cs="Arial"/>
        </w:rPr>
      </w:pPr>
    </w:p>
    <w:p w:rsidR="00EC44F3" w:rsidRDefault="00EC44F3" w:rsidP="00957F91">
      <w:pPr>
        <w:pStyle w:val="Style12ptJustified"/>
        <w:ind w:left="709"/>
        <w:jc w:val="both"/>
        <w:rPr>
          <w:rFonts w:cs="Arial"/>
          <w:b/>
        </w:rPr>
      </w:pPr>
      <w:r w:rsidRPr="00EC44F3">
        <w:rPr>
          <w:rFonts w:cs="Arial"/>
          <w:b/>
        </w:rPr>
        <w:t>Working Together to Make a Difference for Harrow</w:t>
      </w:r>
    </w:p>
    <w:p w:rsidR="00EC44F3" w:rsidRPr="00EC44F3" w:rsidRDefault="00696FC4">
      <w:pPr>
        <w:pStyle w:val="ListParagraph"/>
        <w:ind w:left="567"/>
        <w:jc w:val="both"/>
        <w:rPr>
          <w:rFonts w:cs="Arial"/>
        </w:rPr>
      </w:pPr>
      <w:r w:rsidRPr="000F0C4F">
        <w:rPr>
          <w:rFonts w:cs="Arial"/>
        </w:rPr>
        <w:t xml:space="preserve"> </w:t>
      </w:r>
    </w:p>
    <w:p w:rsidR="00EC44F3" w:rsidRPr="00A37874" w:rsidRDefault="00EC44F3" w:rsidP="00C0693D">
      <w:pPr>
        <w:pStyle w:val="ListParagraph"/>
        <w:numPr>
          <w:ilvl w:val="0"/>
          <w:numId w:val="145"/>
        </w:numPr>
        <w:ind w:left="993" w:hanging="142"/>
        <w:jc w:val="both"/>
        <w:rPr>
          <w:rFonts w:cs="Arial"/>
        </w:rPr>
      </w:pPr>
      <w:r w:rsidRPr="00591F96">
        <w:rPr>
          <w:rFonts w:cs="Arial"/>
        </w:rPr>
        <w:t>Making a difference for the vulnerable</w:t>
      </w:r>
    </w:p>
    <w:p w:rsidR="00EC44F3" w:rsidRPr="00A37874" w:rsidRDefault="00EC44F3" w:rsidP="00C0693D">
      <w:pPr>
        <w:pStyle w:val="ListParagraph"/>
        <w:numPr>
          <w:ilvl w:val="0"/>
          <w:numId w:val="145"/>
        </w:numPr>
        <w:ind w:left="993" w:hanging="142"/>
        <w:jc w:val="both"/>
        <w:rPr>
          <w:rFonts w:cs="Arial"/>
        </w:rPr>
      </w:pPr>
      <w:r w:rsidRPr="00A37874">
        <w:rPr>
          <w:rFonts w:cs="Arial"/>
        </w:rPr>
        <w:t>Making a difference for communities</w:t>
      </w:r>
    </w:p>
    <w:p w:rsidR="00EC44F3" w:rsidRPr="00A37874" w:rsidRDefault="00EC44F3" w:rsidP="00C0693D">
      <w:pPr>
        <w:pStyle w:val="ListParagraph"/>
        <w:numPr>
          <w:ilvl w:val="0"/>
          <w:numId w:val="145"/>
        </w:numPr>
        <w:ind w:left="993" w:hanging="142"/>
        <w:jc w:val="both"/>
        <w:rPr>
          <w:rFonts w:cs="Arial"/>
        </w:rPr>
      </w:pPr>
      <w:r w:rsidRPr="00A37874">
        <w:rPr>
          <w:rFonts w:cs="Arial"/>
        </w:rPr>
        <w:t>Making a difference for local businesses</w:t>
      </w:r>
    </w:p>
    <w:p w:rsidR="00696FC4" w:rsidRPr="00A37874" w:rsidRDefault="00EC44F3" w:rsidP="00C0693D">
      <w:pPr>
        <w:pStyle w:val="ListParagraph"/>
        <w:numPr>
          <w:ilvl w:val="0"/>
          <w:numId w:val="145"/>
        </w:numPr>
        <w:ind w:left="993" w:hanging="142"/>
        <w:jc w:val="both"/>
        <w:rPr>
          <w:rFonts w:cs="Arial"/>
        </w:rPr>
      </w:pPr>
      <w:r w:rsidRPr="00A37874">
        <w:rPr>
          <w:rFonts w:cs="Arial"/>
        </w:rPr>
        <w:t>Making a difference for families</w:t>
      </w:r>
    </w:p>
    <w:p w:rsidR="00556B17" w:rsidRDefault="00556B17">
      <w:pPr>
        <w:pStyle w:val="ListParagraph"/>
        <w:ind w:left="928"/>
        <w:jc w:val="both"/>
        <w:rPr>
          <w:rFonts w:cs="Arial"/>
        </w:rPr>
      </w:pPr>
    </w:p>
    <w:p w:rsidR="006F4380" w:rsidRDefault="006F4380">
      <w:pPr>
        <w:pStyle w:val="Style12ptJustified"/>
        <w:jc w:val="both"/>
        <w:rPr>
          <w:b/>
        </w:rPr>
      </w:pPr>
    </w:p>
    <w:p w:rsidR="00696FC4" w:rsidRDefault="00696FC4">
      <w:pPr>
        <w:jc w:val="both"/>
        <w:rPr>
          <w:rFonts w:cs="Arial"/>
        </w:rPr>
      </w:pPr>
      <w:r>
        <w:rPr>
          <w:b/>
          <w:sz w:val="32"/>
          <w:szCs w:val="32"/>
        </w:rPr>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6"/>
        <w:gridCol w:w="487"/>
        <w:gridCol w:w="262"/>
        <w:gridCol w:w="4532"/>
      </w:tblGrid>
      <w:tr w:rsidR="00696FC4" w:rsidTr="007E1CB4">
        <w:tc>
          <w:tcPr>
            <w:tcW w:w="2321" w:type="pct"/>
            <w:tcBorders>
              <w:bottom w:val="nil"/>
              <w:right w:val="nil"/>
            </w:tcBorders>
          </w:tcPr>
          <w:p w:rsidR="00696FC4" w:rsidRDefault="00696FC4">
            <w:pPr>
              <w:pStyle w:val="Infotext"/>
              <w:jc w:val="both"/>
            </w:pPr>
          </w:p>
        </w:tc>
        <w:tc>
          <w:tcPr>
            <w:tcW w:w="247" w:type="pct"/>
            <w:tcBorders>
              <w:left w:val="nil"/>
              <w:right w:val="nil"/>
            </w:tcBorders>
          </w:tcPr>
          <w:p w:rsidR="00696FC4" w:rsidRDefault="00696FC4">
            <w:pPr>
              <w:pStyle w:val="Infotext"/>
              <w:jc w:val="both"/>
            </w:pPr>
          </w:p>
        </w:tc>
        <w:tc>
          <w:tcPr>
            <w:tcW w:w="133" w:type="pct"/>
            <w:tcBorders>
              <w:left w:val="nil"/>
              <w:bottom w:val="nil"/>
              <w:right w:val="nil"/>
            </w:tcBorders>
          </w:tcPr>
          <w:p w:rsidR="00696FC4" w:rsidRDefault="00696FC4">
            <w:pPr>
              <w:pStyle w:val="Infotext"/>
              <w:jc w:val="both"/>
            </w:pPr>
          </w:p>
        </w:tc>
        <w:tc>
          <w:tcPr>
            <w:tcW w:w="2299" w:type="pct"/>
            <w:tcBorders>
              <w:left w:val="nil"/>
              <w:bottom w:val="nil"/>
            </w:tcBorders>
          </w:tcPr>
          <w:p w:rsidR="00696FC4" w:rsidRDefault="00696FC4">
            <w:pPr>
              <w:pStyle w:val="Infotext"/>
              <w:jc w:val="both"/>
            </w:pPr>
          </w:p>
        </w:tc>
      </w:tr>
      <w:tr w:rsidR="00B40C72" w:rsidTr="007E1CB4">
        <w:tc>
          <w:tcPr>
            <w:tcW w:w="2321" w:type="pct"/>
            <w:tcBorders>
              <w:top w:val="nil"/>
              <w:bottom w:val="nil"/>
            </w:tcBorders>
          </w:tcPr>
          <w:p w:rsidR="00B40C72" w:rsidRDefault="00B40C72">
            <w:pPr>
              <w:pStyle w:val="Infotext"/>
              <w:jc w:val="both"/>
              <w:rPr>
                <w:sz w:val="24"/>
                <w:szCs w:val="24"/>
              </w:rPr>
            </w:pPr>
            <w:r>
              <w:rPr>
                <w:sz w:val="24"/>
                <w:szCs w:val="24"/>
              </w:rPr>
              <w:t xml:space="preserve">Name:  </w:t>
            </w:r>
            <w:r w:rsidR="003D76D5">
              <w:rPr>
                <w:sz w:val="24"/>
                <w:szCs w:val="24"/>
              </w:rPr>
              <w:t>Dawn Calvert</w:t>
            </w:r>
          </w:p>
        </w:tc>
        <w:tc>
          <w:tcPr>
            <w:tcW w:w="247" w:type="pct"/>
            <w:tcBorders>
              <w:bottom w:val="single" w:sz="4" w:space="0" w:color="auto"/>
            </w:tcBorders>
          </w:tcPr>
          <w:p w:rsidR="00B40C72" w:rsidRDefault="00C94C9D">
            <w:pPr>
              <w:pStyle w:val="Infotext"/>
              <w:jc w:val="both"/>
            </w:pPr>
            <w:r>
              <w:t>x</w:t>
            </w:r>
          </w:p>
        </w:tc>
        <w:tc>
          <w:tcPr>
            <w:tcW w:w="133" w:type="pct"/>
            <w:tcBorders>
              <w:top w:val="nil"/>
              <w:bottom w:val="nil"/>
              <w:right w:val="nil"/>
            </w:tcBorders>
          </w:tcPr>
          <w:p w:rsidR="00B40C72" w:rsidRDefault="00B40C72">
            <w:pPr>
              <w:pStyle w:val="Infotext"/>
              <w:jc w:val="both"/>
            </w:pPr>
          </w:p>
        </w:tc>
        <w:tc>
          <w:tcPr>
            <w:tcW w:w="2299" w:type="pct"/>
            <w:tcBorders>
              <w:top w:val="nil"/>
              <w:left w:val="nil"/>
              <w:bottom w:val="nil"/>
            </w:tcBorders>
          </w:tcPr>
          <w:p w:rsidR="00B40C72" w:rsidRDefault="00E32E24">
            <w:pPr>
              <w:pStyle w:val="Infotext"/>
              <w:jc w:val="both"/>
              <w:rPr>
                <w:sz w:val="24"/>
                <w:szCs w:val="24"/>
              </w:rPr>
            </w:pPr>
            <w:r>
              <w:rPr>
                <w:sz w:val="24"/>
                <w:szCs w:val="24"/>
              </w:rPr>
              <w:t>Director of Finance</w:t>
            </w:r>
          </w:p>
        </w:tc>
      </w:tr>
      <w:tr w:rsidR="00696FC4" w:rsidTr="007E1CB4">
        <w:tc>
          <w:tcPr>
            <w:tcW w:w="2321" w:type="pct"/>
            <w:tcBorders>
              <w:top w:val="nil"/>
              <w:right w:val="nil"/>
            </w:tcBorders>
          </w:tcPr>
          <w:p w:rsidR="00696FC4" w:rsidRDefault="00696FC4">
            <w:pPr>
              <w:pStyle w:val="Infotext"/>
              <w:jc w:val="both"/>
              <w:rPr>
                <w:sz w:val="24"/>
                <w:szCs w:val="24"/>
              </w:rPr>
            </w:pPr>
            <w:r>
              <w:rPr>
                <w:sz w:val="24"/>
                <w:szCs w:val="24"/>
              </w:rPr>
              <w:t xml:space="preserve"> </w:t>
            </w:r>
          </w:p>
          <w:p w:rsidR="00696FC4" w:rsidRDefault="00696FC4">
            <w:pPr>
              <w:pStyle w:val="Infotext"/>
              <w:jc w:val="both"/>
              <w:rPr>
                <w:sz w:val="24"/>
                <w:szCs w:val="24"/>
              </w:rPr>
            </w:pPr>
            <w:r>
              <w:rPr>
                <w:sz w:val="24"/>
                <w:szCs w:val="24"/>
              </w:rPr>
              <w:t xml:space="preserve">Date:   </w:t>
            </w:r>
            <w:r w:rsidR="00C94C9D">
              <w:rPr>
                <w:sz w:val="24"/>
                <w:szCs w:val="24"/>
              </w:rPr>
              <w:t>7/06/2019</w:t>
            </w:r>
          </w:p>
        </w:tc>
        <w:tc>
          <w:tcPr>
            <w:tcW w:w="247" w:type="pct"/>
            <w:tcBorders>
              <w:left w:val="nil"/>
              <w:bottom w:val="single" w:sz="4" w:space="0" w:color="auto"/>
              <w:right w:val="nil"/>
            </w:tcBorders>
          </w:tcPr>
          <w:p w:rsidR="00696FC4" w:rsidRDefault="00696FC4">
            <w:pPr>
              <w:pStyle w:val="Infotext"/>
              <w:jc w:val="both"/>
            </w:pPr>
          </w:p>
        </w:tc>
        <w:tc>
          <w:tcPr>
            <w:tcW w:w="133" w:type="pct"/>
            <w:tcBorders>
              <w:top w:val="nil"/>
              <w:left w:val="nil"/>
              <w:right w:val="nil"/>
            </w:tcBorders>
          </w:tcPr>
          <w:p w:rsidR="00696FC4" w:rsidRDefault="00696FC4">
            <w:pPr>
              <w:pStyle w:val="Infotext"/>
              <w:jc w:val="both"/>
            </w:pPr>
          </w:p>
        </w:tc>
        <w:tc>
          <w:tcPr>
            <w:tcW w:w="2299" w:type="pct"/>
            <w:tcBorders>
              <w:top w:val="nil"/>
              <w:left w:val="nil"/>
            </w:tcBorders>
          </w:tcPr>
          <w:p w:rsidR="00696FC4" w:rsidRDefault="00696FC4">
            <w:pPr>
              <w:pStyle w:val="Infotext"/>
              <w:jc w:val="both"/>
              <w:rPr>
                <w:sz w:val="24"/>
                <w:szCs w:val="24"/>
              </w:rPr>
            </w:pPr>
          </w:p>
        </w:tc>
      </w:tr>
      <w:tr w:rsidR="00696FC4" w:rsidTr="007E1CB4">
        <w:tc>
          <w:tcPr>
            <w:tcW w:w="2321" w:type="pct"/>
            <w:tcBorders>
              <w:bottom w:val="nil"/>
              <w:right w:val="nil"/>
            </w:tcBorders>
          </w:tcPr>
          <w:p w:rsidR="00696FC4" w:rsidRDefault="00696FC4">
            <w:pPr>
              <w:pStyle w:val="Infotext"/>
              <w:jc w:val="both"/>
              <w:rPr>
                <w:sz w:val="24"/>
                <w:szCs w:val="24"/>
              </w:rPr>
            </w:pPr>
          </w:p>
        </w:tc>
        <w:tc>
          <w:tcPr>
            <w:tcW w:w="247" w:type="pct"/>
            <w:tcBorders>
              <w:left w:val="nil"/>
              <w:right w:val="nil"/>
            </w:tcBorders>
          </w:tcPr>
          <w:p w:rsidR="00696FC4" w:rsidRDefault="00696FC4">
            <w:pPr>
              <w:pStyle w:val="Infotext"/>
              <w:jc w:val="both"/>
            </w:pPr>
          </w:p>
        </w:tc>
        <w:tc>
          <w:tcPr>
            <w:tcW w:w="133" w:type="pct"/>
            <w:tcBorders>
              <w:left w:val="nil"/>
              <w:bottom w:val="nil"/>
              <w:right w:val="nil"/>
            </w:tcBorders>
          </w:tcPr>
          <w:p w:rsidR="00696FC4" w:rsidRDefault="00696FC4">
            <w:pPr>
              <w:pStyle w:val="Infotext"/>
              <w:jc w:val="both"/>
            </w:pPr>
          </w:p>
        </w:tc>
        <w:tc>
          <w:tcPr>
            <w:tcW w:w="2299" w:type="pct"/>
            <w:tcBorders>
              <w:left w:val="nil"/>
              <w:bottom w:val="nil"/>
            </w:tcBorders>
          </w:tcPr>
          <w:p w:rsidR="00696FC4" w:rsidRDefault="00696FC4">
            <w:pPr>
              <w:pStyle w:val="Infotext"/>
              <w:jc w:val="both"/>
              <w:rPr>
                <w:sz w:val="24"/>
                <w:szCs w:val="24"/>
              </w:rPr>
            </w:pPr>
            <w:r>
              <w:rPr>
                <w:sz w:val="24"/>
                <w:szCs w:val="24"/>
              </w:rPr>
              <w:t>on behalf of the</w:t>
            </w:r>
          </w:p>
        </w:tc>
      </w:tr>
      <w:tr w:rsidR="00696FC4" w:rsidTr="007E1CB4">
        <w:tc>
          <w:tcPr>
            <w:tcW w:w="2321" w:type="pct"/>
            <w:tcBorders>
              <w:top w:val="nil"/>
              <w:bottom w:val="nil"/>
            </w:tcBorders>
          </w:tcPr>
          <w:p w:rsidR="00696FC4" w:rsidRDefault="00696FC4">
            <w:pPr>
              <w:pStyle w:val="Infotext"/>
              <w:jc w:val="both"/>
              <w:rPr>
                <w:sz w:val="24"/>
                <w:szCs w:val="24"/>
              </w:rPr>
            </w:pPr>
            <w:r>
              <w:rPr>
                <w:sz w:val="24"/>
                <w:szCs w:val="24"/>
              </w:rPr>
              <w:t xml:space="preserve">Name:  </w:t>
            </w:r>
            <w:r w:rsidR="00A61E81">
              <w:rPr>
                <w:sz w:val="24"/>
                <w:szCs w:val="24"/>
              </w:rPr>
              <w:t xml:space="preserve">Chris </w:t>
            </w:r>
            <w:proofErr w:type="spellStart"/>
            <w:r w:rsidR="00A61E81">
              <w:rPr>
                <w:sz w:val="24"/>
                <w:szCs w:val="24"/>
              </w:rPr>
              <w:t>Cuckney</w:t>
            </w:r>
            <w:proofErr w:type="spellEnd"/>
          </w:p>
        </w:tc>
        <w:tc>
          <w:tcPr>
            <w:tcW w:w="247" w:type="pct"/>
            <w:tcBorders>
              <w:bottom w:val="single" w:sz="4" w:space="0" w:color="auto"/>
            </w:tcBorders>
          </w:tcPr>
          <w:p w:rsidR="00696FC4" w:rsidRDefault="00A61E81">
            <w:pPr>
              <w:pStyle w:val="Infotext"/>
              <w:jc w:val="both"/>
            </w:pPr>
            <w:r>
              <w:t>x</w:t>
            </w:r>
          </w:p>
        </w:tc>
        <w:tc>
          <w:tcPr>
            <w:tcW w:w="133" w:type="pct"/>
            <w:tcBorders>
              <w:top w:val="nil"/>
              <w:bottom w:val="nil"/>
              <w:right w:val="nil"/>
            </w:tcBorders>
          </w:tcPr>
          <w:p w:rsidR="00696FC4" w:rsidRDefault="00696FC4">
            <w:pPr>
              <w:pStyle w:val="Infotext"/>
              <w:jc w:val="both"/>
            </w:pPr>
          </w:p>
        </w:tc>
        <w:tc>
          <w:tcPr>
            <w:tcW w:w="2299" w:type="pct"/>
            <w:tcBorders>
              <w:top w:val="nil"/>
              <w:left w:val="nil"/>
              <w:bottom w:val="nil"/>
            </w:tcBorders>
          </w:tcPr>
          <w:p w:rsidR="00696FC4" w:rsidRDefault="00696FC4">
            <w:pPr>
              <w:pStyle w:val="Infotext"/>
              <w:jc w:val="both"/>
              <w:rPr>
                <w:sz w:val="24"/>
                <w:szCs w:val="24"/>
              </w:rPr>
            </w:pPr>
            <w:r>
              <w:rPr>
                <w:sz w:val="24"/>
                <w:szCs w:val="24"/>
              </w:rPr>
              <w:t>Monitoring Officer</w:t>
            </w:r>
          </w:p>
        </w:tc>
      </w:tr>
      <w:tr w:rsidR="00696FC4" w:rsidTr="007E1CB4">
        <w:trPr>
          <w:trHeight w:val="592"/>
        </w:trPr>
        <w:tc>
          <w:tcPr>
            <w:tcW w:w="2321" w:type="pct"/>
            <w:tcBorders>
              <w:top w:val="nil"/>
              <w:right w:val="nil"/>
            </w:tcBorders>
          </w:tcPr>
          <w:p w:rsidR="00696FC4" w:rsidRDefault="00696FC4">
            <w:pPr>
              <w:pStyle w:val="Infotext"/>
              <w:jc w:val="both"/>
              <w:rPr>
                <w:sz w:val="24"/>
                <w:szCs w:val="24"/>
              </w:rPr>
            </w:pPr>
          </w:p>
          <w:p w:rsidR="00696FC4" w:rsidRDefault="00696FC4">
            <w:pPr>
              <w:pStyle w:val="Infotext"/>
              <w:jc w:val="both"/>
              <w:rPr>
                <w:sz w:val="24"/>
                <w:szCs w:val="24"/>
              </w:rPr>
            </w:pPr>
            <w:r>
              <w:rPr>
                <w:sz w:val="24"/>
                <w:szCs w:val="24"/>
              </w:rPr>
              <w:t xml:space="preserve">Date:  </w:t>
            </w:r>
            <w:r w:rsidR="00A61E81">
              <w:rPr>
                <w:sz w:val="24"/>
                <w:szCs w:val="24"/>
              </w:rPr>
              <w:t>11/06/2019</w:t>
            </w:r>
          </w:p>
          <w:p w:rsidR="00696FC4" w:rsidRDefault="00696FC4">
            <w:pPr>
              <w:pStyle w:val="Infotext"/>
              <w:jc w:val="both"/>
              <w:rPr>
                <w:sz w:val="24"/>
                <w:szCs w:val="24"/>
              </w:rPr>
            </w:pPr>
          </w:p>
        </w:tc>
        <w:tc>
          <w:tcPr>
            <w:tcW w:w="247" w:type="pct"/>
            <w:tcBorders>
              <w:left w:val="nil"/>
              <w:right w:val="nil"/>
            </w:tcBorders>
          </w:tcPr>
          <w:p w:rsidR="00696FC4" w:rsidRDefault="00696FC4">
            <w:pPr>
              <w:pStyle w:val="Infotext"/>
              <w:jc w:val="both"/>
            </w:pPr>
          </w:p>
        </w:tc>
        <w:tc>
          <w:tcPr>
            <w:tcW w:w="133" w:type="pct"/>
            <w:tcBorders>
              <w:top w:val="nil"/>
              <w:left w:val="nil"/>
              <w:right w:val="nil"/>
            </w:tcBorders>
          </w:tcPr>
          <w:p w:rsidR="00696FC4" w:rsidRDefault="00696FC4">
            <w:pPr>
              <w:pStyle w:val="Infotext"/>
              <w:jc w:val="both"/>
            </w:pPr>
          </w:p>
        </w:tc>
        <w:tc>
          <w:tcPr>
            <w:tcW w:w="2299" w:type="pct"/>
            <w:tcBorders>
              <w:top w:val="nil"/>
              <w:left w:val="nil"/>
            </w:tcBorders>
          </w:tcPr>
          <w:p w:rsidR="00696FC4" w:rsidRDefault="00696FC4">
            <w:pPr>
              <w:pStyle w:val="Infotext"/>
              <w:jc w:val="both"/>
            </w:pPr>
          </w:p>
          <w:p w:rsidR="00696FC4" w:rsidRDefault="00696FC4">
            <w:pPr>
              <w:pStyle w:val="Infotext"/>
              <w:jc w:val="both"/>
            </w:pPr>
          </w:p>
        </w:tc>
      </w:tr>
      <w:tr w:rsidR="00592E64" w:rsidRPr="007662D9" w:rsidTr="00940CC4">
        <w:tc>
          <w:tcPr>
            <w:tcW w:w="2321" w:type="pct"/>
            <w:tcBorders>
              <w:bottom w:val="nil"/>
              <w:right w:val="nil"/>
            </w:tcBorders>
          </w:tcPr>
          <w:p w:rsidR="00592E64" w:rsidRPr="007662D9" w:rsidRDefault="00592E64" w:rsidP="00400300">
            <w:pPr>
              <w:pStyle w:val="Infotext"/>
              <w:jc w:val="both"/>
              <w:rPr>
                <w:sz w:val="24"/>
                <w:szCs w:val="24"/>
              </w:rPr>
            </w:pPr>
          </w:p>
        </w:tc>
        <w:tc>
          <w:tcPr>
            <w:tcW w:w="247" w:type="pct"/>
            <w:tcBorders>
              <w:left w:val="nil"/>
              <w:right w:val="nil"/>
            </w:tcBorders>
          </w:tcPr>
          <w:p w:rsidR="00592E64" w:rsidRPr="007662D9" w:rsidRDefault="00592E64" w:rsidP="00400300">
            <w:pPr>
              <w:pStyle w:val="Infotext"/>
              <w:jc w:val="both"/>
            </w:pPr>
          </w:p>
        </w:tc>
        <w:tc>
          <w:tcPr>
            <w:tcW w:w="133" w:type="pct"/>
            <w:tcBorders>
              <w:left w:val="nil"/>
              <w:bottom w:val="nil"/>
              <w:right w:val="nil"/>
            </w:tcBorders>
          </w:tcPr>
          <w:p w:rsidR="00592E64" w:rsidRPr="007662D9" w:rsidRDefault="00592E64" w:rsidP="00400300">
            <w:pPr>
              <w:pStyle w:val="Infotext"/>
              <w:jc w:val="both"/>
            </w:pPr>
          </w:p>
        </w:tc>
        <w:tc>
          <w:tcPr>
            <w:tcW w:w="2299" w:type="pct"/>
            <w:tcBorders>
              <w:left w:val="nil"/>
              <w:bottom w:val="nil"/>
            </w:tcBorders>
          </w:tcPr>
          <w:p w:rsidR="00592E64" w:rsidRPr="007662D9" w:rsidRDefault="00592E64" w:rsidP="00400300">
            <w:pPr>
              <w:pStyle w:val="Infotext"/>
              <w:jc w:val="both"/>
              <w:rPr>
                <w:sz w:val="24"/>
                <w:szCs w:val="24"/>
              </w:rPr>
            </w:pPr>
            <w:r w:rsidRPr="007662D9">
              <w:rPr>
                <w:sz w:val="24"/>
                <w:szCs w:val="24"/>
              </w:rPr>
              <w:t>on behalf of the</w:t>
            </w:r>
          </w:p>
        </w:tc>
      </w:tr>
      <w:tr w:rsidR="007E1CB4" w:rsidRPr="00062C49" w:rsidTr="00940CC4">
        <w:tc>
          <w:tcPr>
            <w:tcW w:w="2321" w:type="pct"/>
            <w:tcBorders>
              <w:top w:val="nil"/>
              <w:bottom w:val="nil"/>
            </w:tcBorders>
          </w:tcPr>
          <w:p w:rsidR="007E1CB4" w:rsidRPr="007662D9" w:rsidRDefault="007E1CB4" w:rsidP="00400300">
            <w:pPr>
              <w:pStyle w:val="Infotext"/>
              <w:jc w:val="both"/>
              <w:rPr>
                <w:sz w:val="24"/>
                <w:szCs w:val="24"/>
              </w:rPr>
            </w:pPr>
            <w:r w:rsidRPr="007662D9">
              <w:rPr>
                <w:sz w:val="24"/>
                <w:szCs w:val="24"/>
              </w:rPr>
              <w:t xml:space="preserve">Name: </w:t>
            </w:r>
            <w:r>
              <w:rPr>
                <w:sz w:val="24"/>
                <w:szCs w:val="24"/>
              </w:rPr>
              <w:t xml:space="preserve"> </w:t>
            </w:r>
            <w:r w:rsidRPr="007662D9">
              <w:rPr>
                <w:sz w:val="24"/>
                <w:szCs w:val="24"/>
              </w:rPr>
              <w:t xml:space="preserve"> </w:t>
            </w:r>
            <w:proofErr w:type="spellStart"/>
            <w:r>
              <w:rPr>
                <w:sz w:val="24"/>
                <w:szCs w:val="24"/>
              </w:rPr>
              <w:t>Nimesh</w:t>
            </w:r>
            <w:proofErr w:type="spellEnd"/>
            <w:r>
              <w:rPr>
                <w:sz w:val="24"/>
                <w:szCs w:val="24"/>
              </w:rPr>
              <w:t xml:space="preserve"> Mehta</w:t>
            </w:r>
          </w:p>
        </w:tc>
        <w:tc>
          <w:tcPr>
            <w:tcW w:w="247" w:type="pct"/>
            <w:tcBorders>
              <w:bottom w:val="single" w:sz="4" w:space="0" w:color="auto"/>
            </w:tcBorders>
          </w:tcPr>
          <w:p w:rsidR="007E1CB4" w:rsidRPr="007662D9" w:rsidRDefault="007E1CB4">
            <w:pPr>
              <w:pStyle w:val="Infotext"/>
              <w:jc w:val="both"/>
              <w:rPr>
                <w:rFonts w:ascii="MS Shell Dlg 2" w:hAnsi="MS Shell Dlg 2" w:cs="MS Shell Dlg 2"/>
                <w:sz w:val="17"/>
                <w:szCs w:val="17"/>
                <w:lang w:eastAsia="en-GB"/>
              </w:rPr>
            </w:pPr>
            <w:r>
              <w:t>x</w:t>
            </w:r>
          </w:p>
        </w:tc>
        <w:tc>
          <w:tcPr>
            <w:tcW w:w="133" w:type="pct"/>
            <w:tcBorders>
              <w:top w:val="nil"/>
              <w:bottom w:val="nil"/>
              <w:right w:val="nil"/>
            </w:tcBorders>
          </w:tcPr>
          <w:p w:rsidR="007E1CB4" w:rsidRPr="007662D9" w:rsidRDefault="007E1CB4" w:rsidP="00400300">
            <w:pPr>
              <w:pStyle w:val="Infotext"/>
              <w:jc w:val="both"/>
            </w:pPr>
          </w:p>
        </w:tc>
        <w:tc>
          <w:tcPr>
            <w:tcW w:w="2299" w:type="pct"/>
            <w:tcBorders>
              <w:top w:val="nil"/>
              <w:left w:val="nil"/>
              <w:bottom w:val="nil"/>
            </w:tcBorders>
          </w:tcPr>
          <w:p w:rsidR="007E1CB4" w:rsidRPr="00062C49" w:rsidRDefault="007E1CB4" w:rsidP="00400300">
            <w:pPr>
              <w:pStyle w:val="Infotext"/>
              <w:jc w:val="both"/>
              <w:rPr>
                <w:sz w:val="24"/>
                <w:szCs w:val="24"/>
              </w:rPr>
            </w:pPr>
            <w:r w:rsidRPr="00062C49">
              <w:rPr>
                <w:sz w:val="24"/>
                <w:szCs w:val="24"/>
              </w:rPr>
              <w:t>Head of Procurement</w:t>
            </w:r>
          </w:p>
        </w:tc>
      </w:tr>
      <w:tr w:rsidR="007E1CB4" w:rsidRPr="007662D9" w:rsidTr="00940CC4">
        <w:tc>
          <w:tcPr>
            <w:tcW w:w="2321" w:type="pct"/>
            <w:tcBorders>
              <w:top w:val="nil"/>
              <w:right w:val="nil"/>
            </w:tcBorders>
          </w:tcPr>
          <w:p w:rsidR="007E1CB4" w:rsidRPr="007662D9" w:rsidRDefault="007E1CB4" w:rsidP="00400300">
            <w:pPr>
              <w:pStyle w:val="Infotext"/>
              <w:jc w:val="both"/>
              <w:rPr>
                <w:sz w:val="24"/>
                <w:szCs w:val="24"/>
              </w:rPr>
            </w:pPr>
          </w:p>
          <w:p w:rsidR="007E1CB4" w:rsidRPr="007662D9" w:rsidRDefault="007E1CB4" w:rsidP="00400300">
            <w:pPr>
              <w:pStyle w:val="Infotext"/>
              <w:jc w:val="both"/>
              <w:rPr>
                <w:sz w:val="24"/>
                <w:szCs w:val="24"/>
              </w:rPr>
            </w:pPr>
            <w:r w:rsidRPr="007662D9">
              <w:rPr>
                <w:sz w:val="24"/>
                <w:szCs w:val="24"/>
              </w:rPr>
              <w:t xml:space="preserve">Date:  </w:t>
            </w:r>
            <w:r>
              <w:rPr>
                <w:sz w:val="24"/>
                <w:szCs w:val="24"/>
              </w:rPr>
              <w:t>23/05/2019</w:t>
            </w:r>
          </w:p>
        </w:tc>
        <w:tc>
          <w:tcPr>
            <w:tcW w:w="247" w:type="pct"/>
            <w:tcBorders>
              <w:left w:val="nil"/>
              <w:right w:val="nil"/>
            </w:tcBorders>
          </w:tcPr>
          <w:p w:rsidR="007E1CB4" w:rsidRPr="007662D9" w:rsidRDefault="007E1CB4" w:rsidP="00400300">
            <w:pPr>
              <w:pStyle w:val="Infotext"/>
              <w:jc w:val="both"/>
            </w:pPr>
          </w:p>
        </w:tc>
        <w:tc>
          <w:tcPr>
            <w:tcW w:w="133" w:type="pct"/>
            <w:tcBorders>
              <w:top w:val="nil"/>
              <w:left w:val="nil"/>
              <w:right w:val="nil"/>
            </w:tcBorders>
          </w:tcPr>
          <w:p w:rsidR="007E1CB4" w:rsidRPr="007662D9" w:rsidRDefault="007E1CB4" w:rsidP="00400300">
            <w:pPr>
              <w:pStyle w:val="Infotext"/>
              <w:jc w:val="both"/>
            </w:pPr>
          </w:p>
        </w:tc>
        <w:tc>
          <w:tcPr>
            <w:tcW w:w="2299" w:type="pct"/>
            <w:tcBorders>
              <w:top w:val="nil"/>
              <w:left w:val="nil"/>
            </w:tcBorders>
          </w:tcPr>
          <w:p w:rsidR="007E1CB4" w:rsidRPr="007662D9" w:rsidRDefault="007E1CB4" w:rsidP="00400300">
            <w:pPr>
              <w:pStyle w:val="Infotext"/>
              <w:jc w:val="both"/>
            </w:pPr>
          </w:p>
          <w:p w:rsidR="007E1CB4" w:rsidRPr="007662D9" w:rsidRDefault="007E1CB4" w:rsidP="00400300">
            <w:pPr>
              <w:pStyle w:val="Infotext"/>
              <w:jc w:val="both"/>
            </w:pPr>
          </w:p>
        </w:tc>
      </w:tr>
    </w:tbl>
    <w:p w:rsidR="00696FC4" w:rsidRDefault="00696FC4">
      <w:pPr>
        <w:jc w:val="both"/>
      </w:pPr>
    </w:p>
    <w:p w:rsidR="00A5478D" w:rsidRDefault="00A5478D">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412"/>
        <w:gridCol w:w="251"/>
        <w:gridCol w:w="4139"/>
      </w:tblGrid>
      <w:tr w:rsidR="00A5478D" w:rsidRPr="00A5478D" w:rsidTr="00F01B7D">
        <w:tc>
          <w:tcPr>
            <w:tcW w:w="4752" w:type="dxa"/>
            <w:tcBorders>
              <w:bottom w:val="nil"/>
              <w:right w:val="nil"/>
            </w:tcBorders>
          </w:tcPr>
          <w:p w:rsidR="00A5478D" w:rsidRPr="00A5478D" w:rsidRDefault="00A5478D" w:rsidP="00A5478D">
            <w:pPr>
              <w:jc w:val="both"/>
            </w:pPr>
          </w:p>
          <w:p w:rsidR="00A5478D" w:rsidRPr="00A5478D" w:rsidRDefault="00A5478D" w:rsidP="00A5478D">
            <w:pPr>
              <w:jc w:val="both"/>
            </w:pPr>
          </w:p>
        </w:tc>
        <w:tc>
          <w:tcPr>
            <w:tcW w:w="387" w:type="dxa"/>
            <w:tcBorders>
              <w:left w:val="nil"/>
              <w:right w:val="nil"/>
            </w:tcBorders>
          </w:tcPr>
          <w:p w:rsidR="00A5478D" w:rsidRPr="00A5478D" w:rsidRDefault="00A5478D" w:rsidP="00A5478D">
            <w:pPr>
              <w:jc w:val="both"/>
            </w:pPr>
          </w:p>
        </w:tc>
        <w:tc>
          <w:tcPr>
            <w:tcW w:w="236" w:type="dxa"/>
            <w:tcBorders>
              <w:left w:val="nil"/>
              <w:bottom w:val="nil"/>
              <w:right w:val="nil"/>
            </w:tcBorders>
          </w:tcPr>
          <w:p w:rsidR="00A5478D" w:rsidRPr="00A5478D" w:rsidRDefault="00A5478D" w:rsidP="00A5478D">
            <w:pPr>
              <w:jc w:val="both"/>
            </w:pPr>
          </w:p>
        </w:tc>
        <w:tc>
          <w:tcPr>
            <w:tcW w:w="3890" w:type="dxa"/>
            <w:tcBorders>
              <w:left w:val="nil"/>
              <w:bottom w:val="nil"/>
            </w:tcBorders>
          </w:tcPr>
          <w:p w:rsidR="00A5478D" w:rsidRPr="00A5478D" w:rsidRDefault="00A5478D" w:rsidP="00A5478D">
            <w:pPr>
              <w:jc w:val="both"/>
            </w:pPr>
          </w:p>
          <w:p w:rsidR="00A5478D" w:rsidRPr="00A5478D" w:rsidRDefault="00A5478D" w:rsidP="00A5478D">
            <w:pPr>
              <w:jc w:val="both"/>
            </w:pPr>
          </w:p>
        </w:tc>
      </w:tr>
      <w:tr w:rsidR="00A5478D" w:rsidRPr="00A5478D" w:rsidTr="00F01B7D">
        <w:tc>
          <w:tcPr>
            <w:tcW w:w="4752" w:type="dxa"/>
            <w:tcBorders>
              <w:top w:val="nil"/>
              <w:bottom w:val="nil"/>
            </w:tcBorders>
          </w:tcPr>
          <w:p w:rsidR="00A5478D" w:rsidRPr="00A5478D" w:rsidRDefault="00A5478D" w:rsidP="00A5478D">
            <w:pPr>
              <w:jc w:val="both"/>
            </w:pPr>
            <w:r w:rsidRPr="00A5478D">
              <w:lastRenderedPageBreak/>
              <w:t xml:space="preserve">Name:  </w:t>
            </w:r>
            <w:r w:rsidR="00A125C2">
              <w:t>Charlie Stewart</w:t>
            </w:r>
          </w:p>
        </w:tc>
        <w:tc>
          <w:tcPr>
            <w:tcW w:w="387" w:type="dxa"/>
            <w:tcBorders>
              <w:bottom w:val="single" w:sz="4" w:space="0" w:color="auto"/>
            </w:tcBorders>
          </w:tcPr>
          <w:p w:rsidR="00A5478D" w:rsidRPr="00A5478D" w:rsidRDefault="002C1B1F" w:rsidP="00A5478D">
            <w:pPr>
              <w:jc w:val="both"/>
            </w:pPr>
            <w:r w:rsidRPr="002C1B1F">
              <w:t>x</w:t>
            </w:r>
          </w:p>
        </w:tc>
        <w:tc>
          <w:tcPr>
            <w:tcW w:w="236" w:type="dxa"/>
            <w:tcBorders>
              <w:top w:val="nil"/>
              <w:bottom w:val="nil"/>
              <w:right w:val="nil"/>
            </w:tcBorders>
          </w:tcPr>
          <w:p w:rsidR="00A5478D" w:rsidRPr="00A5478D" w:rsidRDefault="00A5478D" w:rsidP="00A5478D">
            <w:pPr>
              <w:jc w:val="both"/>
            </w:pPr>
          </w:p>
        </w:tc>
        <w:tc>
          <w:tcPr>
            <w:tcW w:w="3890" w:type="dxa"/>
            <w:tcBorders>
              <w:top w:val="nil"/>
              <w:left w:val="nil"/>
              <w:bottom w:val="nil"/>
            </w:tcBorders>
          </w:tcPr>
          <w:p w:rsidR="00A5478D" w:rsidRPr="00A5478D" w:rsidRDefault="00A5478D" w:rsidP="00A5478D">
            <w:pPr>
              <w:jc w:val="both"/>
            </w:pPr>
            <w:r w:rsidRPr="00A5478D">
              <w:t>Corporate Director</w:t>
            </w:r>
          </w:p>
        </w:tc>
      </w:tr>
      <w:tr w:rsidR="00A5478D" w:rsidRPr="00A5478D" w:rsidTr="00F01B7D">
        <w:tc>
          <w:tcPr>
            <w:tcW w:w="4752" w:type="dxa"/>
            <w:tcBorders>
              <w:top w:val="nil"/>
              <w:right w:val="nil"/>
            </w:tcBorders>
          </w:tcPr>
          <w:p w:rsidR="00A5478D" w:rsidRPr="00A5478D" w:rsidRDefault="00A5478D" w:rsidP="00A5478D">
            <w:pPr>
              <w:jc w:val="both"/>
            </w:pPr>
            <w:r w:rsidRPr="00A5478D">
              <w:t xml:space="preserve"> </w:t>
            </w:r>
          </w:p>
          <w:p w:rsidR="00A5478D" w:rsidRPr="00A5478D" w:rsidRDefault="00A5478D" w:rsidP="00A5478D">
            <w:pPr>
              <w:jc w:val="both"/>
            </w:pPr>
            <w:r w:rsidRPr="00A5478D">
              <w:t xml:space="preserve">Date:  </w:t>
            </w:r>
            <w:r w:rsidR="002C1B1F">
              <w:t>11/06/2019</w:t>
            </w:r>
          </w:p>
        </w:tc>
        <w:tc>
          <w:tcPr>
            <w:tcW w:w="387" w:type="dxa"/>
            <w:tcBorders>
              <w:left w:val="nil"/>
              <w:bottom w:val="single" w:sz="4" w:space="0" w:color="auto"/>
              <w:right w:val="nil"/>
            </w:tcBorders>
          </w:tcPr>
          <w:p w:rsidR="00A5478D" w:rsidRPr="00A5478D" w:rsidRDefault="00A5478D" w:rsidP="00A5478D">
            <w:pPr>
              <w:jc w:val="both"/>
            </w:pPr>
          </w:p>
        </w:tc>
        <w:tc>
          <w:tcPr>
            <w:tcW w:w="236" w:type="dxa"/>
            <w:tcBorders>
              <w:top w:val="nil"/>
              <w:left w:val="nil"/>
              <w:right w:val="nil"/>
            </w:tcBorders>
          </w:tcPr>
          <w:p w:rsidR="00A5478D" w:rsidRPr="00A5478D" w:rsidRDefault="00A5478D" w:rsidP="00A5478D">
            <w:pPr>
              <w:jc w:val="both"/>
            </w:pPr>
          </w:p>
        </w:tc>
        <w:tc>
          <w:tcPr>
            <w:tcW w:w="3890" w:type="dxa"/>
            <w:tcBorders>
              <w:top w:val="nil"/>
              <w:left w:val="nil"/>
            </w:tcBorders>
          </w:tcPr>
          <w:p w:rsidR="00A5478D" w:rsidRPr="00A5478D" w:rsidRDefault="00A5478D" w:rsidP="00A5478D">
            <w:pPr>
              <w:jc w:val="both"/>
            </w:pPr>
          </w:p>
        </w:tc>
      </w:tr>
    </w:tbl>
    <w:p w:rsidR="00A5478D" w:rsidRDefault="00A5478D">
      <w:pPr>
        <w:jc w:val="both"/>
      </w:pPr>
    </w:p>
    <w:p w:rsidR="00A5478D" w:rsidRDefault="00A5478D">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3"/>
        <w:gridCol w:w="3894"/>
      </w:tblGrid>
      <w:tr w:rsidR="000A55D4">
        <w:trPr>
          <w:trHeight w:val="965"/>
        </w:trPr>
        <w:tc>
          <w:tcPr>
            <w:tcW w:w="3025" w:type="pct"/>
            <w:tcBorders>
              <w:right w:val="nil"/>
            </w:tcBorders>
          </w:tcPr>
          <w:p w:rsidR="000A55D4" w:rsidRDefault="000A55D4">
            <w:pPr>
              <w:pStyle w:val="Infotext"/>
              <w:jc w:val="both"/>
              <w:rPr>
                <w:rFonts w:ascii="Arial Black" w:hAnsi="Arial Black"/>
              </w:rPr>
            </w:pPr>
          </w:p>
          <w:p w:rsidR="000A55D4" w:rsidRDefault="000A55D4">
            <w:pPr>
              <w:pStyle w:val="Infotext"/>
              <w:jc w:val="both"/>
              <w:rPr>
                <w:rFonts w:ascii="Arial Black" w:hAnsi="Arial Black"/>
              </w:rPr>
            </w:pPr>
            <w:r>
              <w:rPr>
                <w:rFonts w:ascii="Arial Black" w:hAnsi="Arial Black"/>
              </w:rPr>
              <w:t>Ward Councillors notified:</w:t>
            </w:r>
          </w:p>
          <w:p w:rsidR="000A55D4" w:rsidRDefault="000A55D4">
            <w:pPr>
              <w:pStyle w:val="Infotext"/>
              <w:jc w:val="both"/>
            </w:pPr>
          </w:p>
        </w:tc>
        <w:tc>
          <w:tcPr>
            <w:tcW w:w="1975" w:type="pct"/>
            <w:tcBorders>
              <w:left w:val="nil"/>
            </w:tcBorders>
          </w:tcPr>
          <w:p w:rsidR="000A55D4" w:rsidRDefault="000A55D4">
            <w:pPr>
              <w:pStyle w:val="Infotext"/>
              <w:jc w:val="both"/>
            </w:pPr>
          </w:p>
          <w:p w:rsidR="000A55D4" w:rsidRPr="00EF3D60" w:rsidRDefault="000A55D4">
            <w:pPr>
              <w:pStyle w:val="Infotext"/>
              <w:spacing w:before="120"/>
              <w:jc w:val="both"/>
              <w:rPr>
                <w:sz w:val="24"/>
                <w:szCs w:val="24"/>
              </w:rPr>
            </w:pPr>
            <w:r w:rsidRPr="00EF3D60">
              <w:rPr>
                <w:sz w:val="24"/>
                <w:szCs w:val="24"/>
              </w:rPr>
              <w:t xml:space="preserve">NO </w:t>
            </w:r>
          </w:p>
          <w:p w:rsidR="000A55D4" w:rsidRDefault="000A55D4">
            <w:pPr>
              <w:pStyle w:val="Infotext"/>
              <w:jc w:val="both"/>
              <w:rPr>
                <w:i/>
                <w:sz w:val="24"/>
                <w:szCs w:val="24"/>
              </w:rPr>
            </w:pPr>
            <w:r>
              <w:rPr>
                <w:i/>
                <w:sz w:val="24"/>
                <w:szCs w:val="24"/>
              </w:rPr>
              <w:t xml:space="preserve"> </w:t>
            </w:r>
          </w:p>
          <w:p w:rsidR="000A55D4" w:rsidRPr="003D78F6" w:rsidRDefault="000A55D4">
            <w:pPr>
              <w:pStyle w:val="Infotext"/>
              <w:ind w:left="173"/>
              <w:jc w:val="both"/>
              <w:rPr>
                <w:i/>
                <w:sz w:val="24"/>
                <w:szCs w:val="24"/>
              </w:rPr>
            </w:pPr>
          </w:p>
        </w:tc>
      </w:tr>
      <w:tr w:rsidR="00AC7BFC" w:rsidRPr="00303FD6" w:rsidTr="00AC7BFC">
        <w:trPr>
          <w:trHeight w:val="965"/>
        </w:trPr>
        <w:tc>
          <w:tcPr>
            <w:tcW w:w="3025" w:type="pct"/>
            <w:tcBorders>
              <w:top w:val="single" w:sz="4" w:space="0" w:color="auto"/>
              <w:left w:val="single" w:sz="4" w:space="0" w:color="auto"/>
              <w:bottom w:val="single" w:sz="4" w:space="0" w:color="auto"/>
              <w:right w:val="nil"/>
            </w:tcBorders>
          </w:tcPr>
          <w:p w:rsidR="00AC7BFC" w:rsidRPr="00AC7BFC" w:rsidRDefault="00AC7BFC">
            <w:pPr>
              <w:pStyle w:val="Infotext"/>
              <w:jc w:val="both"/>
              <w:rPr>
                <w:rFonts w:ascii="Arial Black" w:hAnsi="Arial Black"/>
              </w:rPr>
            </w:pPr>
          </w:p>
          <w:p w:rsidR="00AC7BFC" w:rsidRPr="00202D79" w:rsidRDefault="00AC7BFC">
            <w:pPr>
              <w:pStyle w:val="Infotext"/>
              <w:jc w:val="both"/>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AC7BFC" w:rsidRPr="00202D79" w:rsidRDefault="00AC7BFC">
            <w:pPr>
              <w:pStyle w:val="Infotext"/>
              <w:jc w:val="both"/>
              <w:rPr>
                <w:rFonts w:ascii="Arial Black" w:hAnsi="Arial Black"/>
              </w:rPr>
            </w:pPr>
          </w:p>
          <w:p w:rsidR="00AC7BFC" w:rsidRPr="00AC7BFC" w:rsidRDefault="00AC7BFC">
            <w:pPr>
              <w:pStyle w:val="Infotext"/>
              <w:jc w:val="both"/>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rsidR="00AC7BFC" w:rsidRPr="00AC7BFC" w:rsidRDefault="00AC7BFC">
            <w:pPr>
              <w:pStyle w:val="Infotext"/>
              <w:jc w:val="both"/>
            </w:pPr>
          </w:p>
          <w:p w:rsidR="00AC7BFC" w:rsidRPr="00EF3D60" w:rsidRDefault="00AC7BFC">
            <w:pPr>
              <w:pStyle w:val="Infotext"/>
              <w:jc w:val="both"/>
              <w:rPr>
                <w:sz w:val="24"/>
                <w:szCs w:val="24"/>
              </w:rPr>
            </w:pPr>
            <w:r w:rsidRPr="00EF3D60">
              <w:rPr>
                <w:sz w:val="24"/>
                <w:szCs w:val="24"/>
              </w:rPr>
              <w:t>NO</w:t>
            </w:r>
          </w:p>
          <w:p w:rsidR="00AC7BFC" w:rsidRPr="00AC7BFC" w:rsidRDefault="00AC7BFC">
            <w:pPr>
              <w:pStyle w:val="Infotext"/>
              <w:jc w:val="both"/>
            </w:pPr>
          </w:p>
          <w:p w:rsidR="00AC7BFC" w:rsidRPr="00AC7BFC" w:rsidRDefault="00AC7BFC">
            <w:pPr>
              <w:pStyle w:val="Infotext"/>
              <w:jc w:val="both"/>
            </w:pPr>
          </w:p>
          <w:p w:rsidR="00AC7BFC" w:rsidRPr="00EF3D60" w:rsidRDefault="00AC7BFC">
            <w:pPr>
              <w:pStyle w:val="Infotext"/>
              <w:jc w:val="both"/>
              <w:rPr>
                <w:sz w:val="24"/>
                <w:szCs w:val="24"/>
              </w:rPr>
            </w:pPr>
            <w:r w:rsidRPr="00EF3D60">
              <w:rPr>
                <w:sz w:val="24"/>
                <w:szCs w:val="24"/>
              </w:rPr>
              <w:t>N/A</w:t>
            </w:r>
          </w:p>
        </w:tc>
      </w:tr>
    </w:tbl>
    <w:p w:rsidR="000A55D4" w:rsidRPr="000A55D4" w:rsidRDefault="000A55D4">
      <w:pPr>
        <w:jc w:val="both"/>
        <w:rPr>
          <w:rFonts w:cs="Arial"/>
        </w:rPr>
      </w:pPr>
    </w:p>
    <w:p w:rsidR="00696FC4" w:rsidRDefault="00696FC4">
      <w:pPr>
        <w:pStyle w:val="Heading1"/>
        <w:jc w:val="both"/>
      </w:pPr>
      <w:r>
        <w:t xml:space="preserve">Section </w:t>
      </w:r>
      <w:r w:rsidR="00457774">
        <w:t>4</w:t>
      </w:r>
      <w:r>
        <w:t xml:space="preserve"> - Contact Details and Background Papers</w:t>
      </w:r>
    </w:p>
    <w:p w:rsidR="00696FC4" w:rsidRDefault="00696FC4">
      <w:pPr>
        <w:jc w:val="both"/>
      </w:pPr>
    </w:p>
    <w:p w:rsidR="00696FC4" w:rsidRDefault="00696FC4">
      <w:pPr>
        <w:pStyle w:val="Infotext"/>
        <w:tabs>
          <w:tab w:val="left" w:pos="1309"/>
          <w:tab w:val="left" w:pos="7106"/>
          <w:tab w:val="left" w:pos="8976"/>
        </w:tabs>
        <w:ind w:left="1309" w:right="257" w:hanging="1309"/>
        <w:jc w:val="both"/>
        <w:rPr>
          <w:b/>
          <w:szCs w:val="28"/>
        </w:rPr>
      </w:pPr>
      <w:r>
        <w:rPr>
          <w:b/>
        </w:rPr>
        <w:t xml:space="preserve">Contact:  </w:t>
      </w:r>
      <w:r w:rsidR="00CB266A">
        <w:rPr>
          <w:sz w:val="24"/>
          <w:szCs w:val="24"/>
        </w:rPr>
        <w:t>S</w:t>
      </w:r>
      <w:r w:rsidR="00E32E24">
        <w:rPr>
          <w:sz w:val="24"/>
          <w:szCs w:val="24"/>
        </w:rPr>
        <w:t>haron Daniels</w:t>
      </w:r>
      <w:r w:rsidR="00EC6642">
        <w:rPr>
          <w:sz w:val="24"/>
          <w:szCs w:val="24"/>
        </w:rPr>
        <w:t xml:space="preserve"> (</w:t>
      </w:r>
      <w:r w:rsidR="00E32E24">
        <w:rPr>
          <w:sz w:val="24"/>
          <w:szCs w:val="24"/>
        </w:rPr>
        <w:t>Sharon.daniels</w:t>
      </w:r>
      <w:r w:rsidR="00EC6642">
        <w:rPr>
          <w:sz w:val="24"/>
          <w:szCs w:val="24"/>
        </w:rPr>
        <w:t>@harrow.gov.uk)</w:t>
      </w:r>
    </w:p>
    <w:p w:rsidR="00696FC4" w:rsidRDefault="00696FC4">
      <w:pPr>
        <w:pStyle w:val="Infotext"/>
        <w:jc w:val="both"/>
        <w:rPr>
          <w:b/>
        </w:rPr>
      </w:pPr>
      <w:r>
        <w:rPr>
          <w:b/>
        </w:rPr>
        <w:t xml:space="preserve">Background Papers: </w:t>
      </w:r>
    </w:p>
    <w:p w:rsidR="00C508E3" w:rsidRDefault="00C508E3">
      <w:pPr>
        <w:pStyle w:val="Infotext"/>
        <w:jc w:val="both"/>
        <w:rPr>
          <w:sz w:val="24"/>
          <w:szCs w:val="24"/>
        </w:rPr>
      </w:pPr>
    </w:p>
    <w:p w:rsidR="005D75A6" w:rsidRDefault="005D75A6">
      <w:pPr>
        <w:pStyle w:val="Infotext"/>
        <w:tabs>
          <w:tab w:val="left" w:pos="8976"/>
        </w:tabs>
        <w:ind w:right="257"/>
        <w:jc w:val="both"/>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7"/>
        <w:gridCol w:w="633"/>
        <w:gridCol w:w="4867"/>
      </w:tblGrid>
      <w:tr w:rsidR="00696FC4">
        <w:trPr>
          <w:trHeight w:val="965"/>
        </w:trPr>
        <w:tc>
          <w:tcPr>
            <w:tcW w:w="2210" w:type="pct"/>
            <w:tcBorders>
              <w:right w:val="nil"/>
            </w:tcBorders>
          </w:tcPr>
          <w:p w:rsidR="00696FC4" w:rsidRDefault="00696FC4">
            <w:pPr>
              <w:pStyle w:val="Infotext"/>
              <w:jc w:val="both"/>
              <w:rPr>
                <w:rFonts w:ascii="Arial Black" w:hAnsi="Arial Black"/>
              </w:rPr>
            </w:pPr>
            <w:r>
              <w:rPr>
                <w:rFonts w:ascii="Arial Black" w:hAnsi="Arial Black"/>
              </w:rPr>
              <w:t>Call-In Waived by the Chai</w:t>
            </w:r>
            <w:r w:rsidR="00592E64">
              <w:rPr>
                <w:rFonts w:ascii="Arial Black" w:hAnsi="Arial Black"/>
              </w:rPr>
              <w:t>r</w:t>
            </w:r>
            <w:r>
              <w:rPr>
                <w:rFonts w:ascii="Arial Black" w:hAnsi="Arial Black"/>
              </w:rPr>
              <w:t xml:space="preserve"> of Overview and Scrutiny Committee</w:t>
            </w:r>
          </w:p>
          <w:p w:rsidR="00696FC4" w:rsidRDefault="00696FC4">
            <w:pPr>
              <w:pStyle w:val="Infotext"/>
              <w:jc w:val="both"/>
            </w:pPr>
          </w:p>
        </w:tc>
        <w:tc>
          <w:tcPr>
            <w:tcW w:w="321" w:type="pct"/>
            <w:tcBorders>
              <w:left w:val="nil"/>
              <w:right w:val="nil"/>
            </w:tcBorders>
          </w:tcPr>
          <w:p w:rsidR="00696FC4" w:rsidRDefault="00696FC4">
            <w:pPr>
              <w:pStyle w:val="Infotext"/>
              <w:jc w:val="both"/>
            </w:pPr>
          </w:p>
        </w:tc>
        <w:tc>
          <w:tcPr>
            <w:tcW w:w="2469" w:type="pct"/>
            <w:tcBorders>
              <w:left w:val="nil"/>
            </w:tcBorders>
          </w:tcPr>
          <w:p w:rsidR="00696FC4" w:rsidRDefault="00696FC4">
            <w:pPr>
              <w:pStyle w:val="Infotext"/>
              <w:jc w:val="both"/>
            </w:pPr>
            <w:r>
              <w:rPr>
                <w:b/>
              </w:rPr>
              <w:t>NOT APPLICABLE</w:t>
            </w:r>
          </w:p>
          <w:p w:rsidR="00696FC4" w:rsidRDefault="00696FC4">
            <w:pPr>
              <w:pStyle w:val="Infotext"/>
              <w:jc w:val="both"/>
            </w:pPr>
          </w:p>
          <w:p w:rsidR="00696FC4" w:rsidRDefault="00696FC4">
            <w:pPr>
              <w:pStyle w:val="Infotext"/>
              <w:jc w:val="both"/>
              <w:rPr>
                <w:i/>
              </w:rPr>
            </w:pPr>
            <w:r>
              <w:rPr>
                <w:i/>
              </w:rPr>
              <w:t>[Call –in applies]</w:t>
            </w:r>
          </w:p>
          <w:p w:rsidR="00696FC4" w:rsidRDefault="00696FC4">
            <w:pPr>
              <w:pStyle w:val="Infotext"/>
              <w:jc w:val="both"/>
              <w:rPr>
                <w:i/>
              </w:rPr>
            </w:pPr>
          </w:p>
          <w:p w:rsidR="00D44ECE" w:rsidRDefault="00D44ECE">
            <w:pPr>
              <w:pStyle w:val="Infotext"/>
              <w:jc w:val="both"/>
              <w:rPr>
                <w:i/>
              </w:rPr>
            </w:pPr>
          </w:p>
          <w:p w:rsidR="00696FC4" w:rsidRDefault="00696FC4">
            <w:pPr>
              <w:pStyle w:val="Infotext"/>
              <w:jc w:val="both"/>
              <w:rPr>
                <w:i/>
                <w:sz w:val="24"/>
                <w:szCs w:val="24"/>
              </w:rPr>
            </w:pPr>
          </w:p>
        </w:tc>
      </w:tr>
    </w:tbl>
    <w:p w:rsidR="002A0969" w:rsidRDefault="002A0969">
      <w:pPr>
        <w:jc w:val="both"/>
        <w:rPr>
          <w:color w:val="FF0000"/>
        </w:rPr>
      </w:pPr>
    </w:p>
    <w:p w:rsidR="00D97AF1" w:rsidRDefault="00D97AF1">
      <w:pPr>
        <w:pStyle w:val="bullet4"/>
        <w:numPr>
          <w:ilvl w:val="0"/>
          <w:numId w:val="0"/>
        </w:numPr>
        <w:jc w:val="both"/>
        <w:rPr>
          <w:color w:val="FF0000"/>
        </w:rPr>
      </w:pPr>
    </w:p>
    <w:sectPr w:rsidR="00D97AF1" w:rsidSect="007E619C">
      <w:headerReference w:type="default" r:id="rId20"/>
      <w:footerReference w:type="default" r:id="rId21"/>
      <w:headerReference w:type="first" r:id="rId22"/>
      <w:pgSz w:w="11909" w:h="16834" w:code="9"/>
      <w:pgMar w:top="1134" w:right="1134" w:bottom="760" w:left="1134" w:header="720"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B0" w:rsidRDefault="00F361B0">
      <w:r>
        <w:separator/>
      </w:r>
    </w:p>
  </w:endnote>
  <w:endnote w:type="continuationSeparator" w:id="0">
    <w:p w:rsidR="00F361B0" w:rsidRDefault="00F3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87593"/>
      <w:docPartObj>
        <w:docPartGallery w:val="Page Numbers (Bottom of Page)"/>
        <w:docPartUnique/>
      </w:docPartObj>
    </w:sdtPr>
    <w:sdtEndPr>
      <w:rPr>
        <w:noProof/>
      </w:rPr>
    </w:sdtEndPr>
    <w:sdtContent>
      <w:p w:rsidR="00F361B0" w:rsidRDefault="00F361B0">
        <w:pPr>
          <w:pStyle w:val="Footer"/>
          <w:jc w:val="center"/>
        </w:pPr>
        <w:r>
          <w:fldChar w:fldCharType="begin"/>
        </w:r>
        <w:r>
          <w:instrText xml:space="preserve"> PAGE   \* MERGEFORMAT </w:instrText>
        </w:r>
        <w:r>
          <w:fldChar w:fldCharType="separate"/>
        </w:r>
        <w:r w:rsidR="00A8121B">
          <w:rPr>
            <w:noProof/>
          </w:rPr>
          <w:t>28</w:t>
        </w:r>
        <w:r>
          <w:rPr>
            <w:noProof/>
          </w:rPr>
          <w:fldChar w:fldCharType="end"/>
        </w:r>
      </w:p>
    </w:sdtContent>
  </w:sdt>
  <w:p w:rsidR="00F361B0" w:rsidRDefault="00F36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B0" w:rsidRDefault="00F361B0">
      <w:r>
        <w:separator/>
      </w:r>
    </w:p>
  </w:footnote>
  <w:footnote w:type="continuationSeparator" w:id="0">
    <w:p w:rsidR="00F361B0" w:rsidRDefault="00F36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B0" w:rsidRDefault="00F361B0" w:rsidP="00AA3B74">
    <w:pPr>
      <w:pStyle w:val="Header"/>
      <w:tabs>
        <w:tab w:val="clear" w:pos="4153"/>
        <w:tab w:val="clear" w:pos="8306"/>
        <w:tab w:val="left" w:pos="86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B0" w:rsidRDefault="00F361B0" w:rsidP="002A0969">
    <w:pPr>
      <w:pStyle w:val="Header"/>
      <w:jc w:val="right"/>
      <w:rPr>
        <w:b/>
      </w:rPr>
    </w:pPr>
  </w:p>
  <w:p w:rsidR="00F361B0" w:rsidRPr="002A0969" w:rsidRDefault="00F361B0" w:rsidP="002A0969">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40" w:hanging="34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b w:val="0"/>
      </w:rPr>
    </w:lvl>
  </w:abstractNum>
  <w:abstractNum w:abstractNumId="4">
    <w:nsid w:val="00A27A22"/>
    <w:multiLevelType w:val="hybridMultilevel"/>
    <w:tmpl w:val="BB10C482"/>
    <w:lvl w:ilvl="0" w:tplc="12C2068C">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014A3281"/>
    <w:multiLevelType w:val="multilevel"/>
    <w:tmpl w:val="36E0BEA2"/>
    <w:lvl w:ilvl="0">
      <w:start w:val="4"/>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1D44480"/>
    <w:multiLevelType w:val="hybridMultilevel"/>
    <w:tmpl w:val="28B63586"/>
    <w:lvl w:ilvl="0" w:tplc="D37E33E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26516B4"/>
    <w:multiLevelType w:val="hybridMultilevel"/>
    <w:tmpl w:val="54ACBD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27B67C1"/>
    <w:multiLevelType w:val="hybridMultilevel"/>
    <w:tmpl w:val="36D03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3F61E6B"/>
    <w:multiLevelType w:val="hybridMultilevel"/>
    <w:tmpl w:val="CE680B28"/>
    <w:lvl w:ilvl="0" w:tplc="60228A80">
      <w:numFmt w:val="decimal"/>
      <w:lvlText w:val="2.%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048E6BB7"/>
    <w:multiLevelType w:val="hybridMultilevel"/>
    <w:tmpl w:val="31E48174"/>
    <w:lvl w:ilvl="0" w:tplc="2B4204C2">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6116E21"/>
    <w:multiLevelType w:val="hybridMultilevel"/>
    <w:tmpl w:val="4A0A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872A75"/>
    <w:multiLevelType w:val="hybridMultilevel"/>
    <w:tmpl w:val="29BA4FC6"/>
    <w:lvl w:ilvl="0" w:tplc="35C2D996">
      <w:start w:val="4"/>
      <w:numFmt w:val="decimal"/>
      <w:lvlText w:val="%1."/>
      <w:lvlJc w:val="left"/>
      <w:pPr>
        <w:tabs>
          <w:tab w:val="num" w:pos="388"/>
        </w:tabs>
        <w:ind w:left="388" w:hanging="360"/>
      </w:pPr>
      <w:rPr>
        <w:rFonts w:hint="default"/>
        <w:b w:val="0"/>
        <w:i w:val="0"/>
        <w14:shadow w14:blurRad="50800" w14:dist="50800" w14:dir="5400000" w14:sx="0" w14:sy="0" w14:kx="0" w14:ky="0" w14:algn="ctr">
          <w14:schemeClr w14:val="bg1">
            <w14:lumMod w14:val="95000"/>
          </w14:schemeClr>
        </w14:shadow>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3">
    <w:nsid w:val="07197CCB"/>
    <w:multiLevelType w:val="hybridMultilevel"/>
    <w:tmpl w:val="878EB34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4">
    <w:nsid w:val="079171BA"/>
    <w:multiLevelType w:val="hybridMultilevel"/>
    <w:tmpl w:val="94003A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08085765"/>
    <w:multiLevelType w:val="hybridMultilevel"/>
    <w:tmpl w:val="4490A0E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6">
    <w:nsid w:val="0ACC641B"/>
    <w:multiLevelType w:val="multilevel"/>
    <w:tmpl w:val="6E6820B4"/>
    <w:lvl w:ilvl="0">
      <w:start w:val="13"/>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0B95757F"/>
    <w:multiLevelType w:val="hybridMultilevel"/>
    <w:tmpl w:val="EE2E1CD8"/>
    <w:lvl w:ilvl="0" w:tplc="ECC25B30">
      <w:start w:val="4"/>
      <w:numFmt w:val="decimal"/>
      <w:lvlText w:val="%1."/>
      <w:lvlJc w:val="left"/>
      <w:pPr>
        <w:tabs>
          <w:tab w:val="num" w:pos="502"/>
        </w:tabs>
        <w:ind w:left="502" w:hanging="360"/>
      </w:pPr>
      <w:rPr>
        <w:rFonts w:hint="default"/>
        <w:b w:val="0"/>
        <w:i w:val="0"/>
        <w:color w:val="auto"/>
        <w14:shadow w14:blurRad="50800" w14:dist="50800" w14:dir="5400000" w14:sx="0" w14:sy="0" w14:kx="0" w14:ky="0" w14:algn="ctr">
          <w14:schemeClr w14:val="bg1">
            <w14:lumMod w14:val="95000"/>
          </w14:schemeClr>
        </w14:shadow>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8">
    <w:nsid w:val="0CD03B6B"/>
    <w:multiLevelType w:val="hybridMultilevel"/>
    <w:tmpl w:val="8AB48340"/>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19">
    <w:nsid w:val="0E1B5D8C"/>
    <w:multiLevelType w:val="hybridMultilevel"/>
    <w:tmpl w:val="A9580FE4"/>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0">
    <w:nsid w:val="0E212B0C"/>
    <w:multiLevelType w:val="hybridMultilevel"/>
    <w:tmpl w:val="56A6AD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0EF03CAE"/>
    <w:multiLevelType w:val="hybridMultilevel"/>
    <w:tmpl w:val="59823C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FE904F2"/>
    <w:multiLevelType w:val="hybridMultilevel"/>
    <w:tmpl w:val="AA142B02"/>
    <w:lvl w:ilvl="0" w:tplc="CF8A8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293521B"/>
    <w:multiLevelType w:val="hybridMultilevel"/>
    <w:tmpl w:val="23608AD0"/>
    <w:lvl w:ilvl="0" w:tplc="918AD572">
      <w:start w:val="1"/>
      <w:numFmt w:val="bullet"/>
      <w:lvlText w:val=""/>
      <w:lvlJc w:val="left"/>
      <w:pPr>
        <w:tabs>
          <w:tab w:val="num" w:pos="720"/>
        </w:tabs>
        <w:ind w:left="720" w:hanging="360"/>
      </w:pPr>
      <w:rPr>
        <w:rFonts w:ascii="Symbol" w:hAnsi="Symbol" w:hint="default"/>
        <w:i w:val="0"/>
      </w:rPr>
    </w:lvl>
    <w:lvl w:ilvl="1" w:tplc="F29628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339237E"/>
    <w:multiLevelType w:val="hybridMultilevel"/>
    <w:tmpl w:val="852A17E0"/>
    <w:lvl w:ilvl="0" w:tplc="35C2D996">
      <w:start w:val="4"/>
      <w:numFmt w:val="decimal"/>
      <w:lvlText w:val="%1."/>
      <w:lvlJc w:val="left"/>
      <w:pPr>
        <w:tabs>
          <w:tab w:val="num" w:pos="374"/>
        </w:tabs>
        <w:ind w:left="374" w:hanging="360"/>
      </w:pPr>
      <w:rPr>
        <w:rFonts w:hint="default"/>
        <w:b w:val="0"/>
        <w:i w:val="0"/>
        <w14:shadow w14:blurRad="50800" w14:dist="50800" w14:dir="5400000" w14:sx="0" w14:sy="0" w14:kx="0" w14:ky="0" w14:algn="ctr">
          <w14:schemeClr w14:val="bg1">
            <w14:lumMod w14:val="95000"/>
          </w14:schemeClr>
        </w14:shado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3653D61"/>
    <w:multiLevelType w:val="hybridMultilevel"/>
    <w:tmpl w:val="015208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14582E41"/>
    <w:multiLevelType w:val="hybridMultilevel"/>
    <w:tmpl w:val="5AF498CE"/>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27">
    <w:nsid w:val="14D13F6F"/>
    <w:multiLevelType w:val="hybridMultilevel"/>
    <w:tmpl w:val="ED7C674A"/>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8">
    <w:nsid w:val="168E677D"/>
    <w:multiLevelType w:val="multilevel"/>
    <w:tmpl w:val="EB6A08FA"/>
    <w:lvl w:ilvl="0">
      <w:numFmt w:val="decimal"/>
      <w:lvlText w:val="11.%1"/>
      <w:lvlJc w:val="left"/>
      <w:pPr>
        <w:ind w:left="360" w:hanging="360"/>
      </w:pPr>
      <w:rPr>
        <w:rFonts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6992049"/>
    <w:multiLevelType w:val="hybridMultilevel"/>
    <w:tmpl w:val="936AB124"/>
    <w:lvl w:ilvl="0" w:tplc="ABDCA9CA">
      <w:start w:val="10"/>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7596FF9"/>
    <w:multiLevelType w:val="hybridMultilevel"/>
    <w:tmpl w:val="0A26CE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18F34F24"/>
    <w:multiLevelType w:val="hybridMultilevel"/>
    <w:tmpl w:val="BB10C482"/>
    <w:lvl w:ilvl="0" w:tplc="12C2068C">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18FD4D30"/>
    <w:multiLevelType w:val="hybridMultilevel"/>
    <w:tmpl w:val="B0706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19DD6ED1"/>
    <w:multiLevelType w:val="hybridMultilevel"/>
    <w:tmpl w:val="06FC71A8"/>
    <w:lvl w:ilvl="0" w:tplc="50E4D1A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A40506A"/>
    <w:multiLevelType w:val="multilevel"/>
    <w:tmpl w:val="CB66B196"/>
    <w:lvl w:ilvl="0">
      <w:start w:val="8"/>
      <w:numFmt w:val="decimal"/>
      <w:lvlText w:val="2.%1"/>
      <w:lvlJc w:val="left"/>
      <w:pPr>
        <w:ind w:left="502" w:hanging="360"/>
      </w:pPr>
      <w:rPr>
        <w:rFonts w:hint="default"/>
        <w:b w:val="0"/>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35">
    <w:nsid w:val="1B665FB5"/>
    <w:multiLevelType w:val="hybridMultilevel"/>
    <w:tmpl w:val="EB12C9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1BA410D5"/>
    <w:multiLevelType w:val="hybridMultilevel"/>
    <w:tmpl w:val="B5EEF03C"/>
    <w:lvl w:ilvl="0" w:tplc="CA780994">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nsid w:val="1BAB2EA1"/>
    <w:multiLevelType w:val="multilevel"/>
    <w:tmpl w:val="CB66B196"/>
    <w:lvl w:ilvl="0">
      <w:start w:val="8"/>
      <w:numFmt w:val="decimal"/>
      <w:lvlText w:val="2.%1"/>
      <w:lvlJc w:val="left"/>
      <w:pPr>
        <w:ind w:left="502" w:hanging="360"/>
      </w:pPr>
      <w:rPr>
        <w:rFonts w:hint="default"/>
        <w:b w:val="0"/>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38">
    <w:nsid w:val="1C8F4025"/>
    <w:multiLevelType w:val="hybridMultilevel"/>
    <w:tmpl w:val="C3C4B5F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2FE4CFA">
      <w:start w:val="6"/>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1D20001C"/>
    <w:multiLevelType w:val="hybridMultilevel"/>
    <w:tmpl w:val="34E0D1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E5E3390"/>
    <w:multiLevelType w:val="hybridMultilevel"/>
    <w:tmpl w:val="9DB6D34A"/>
    <w:lvl w:ilvl="0" w:tplc="47308874">
      <w:start w:val="12"/>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nsid w:val="1F874280"/>
    <w:multiLevelType w:val="hybridMultilevel"/>
    <w:tmpl w:val="E01659D2"/>
    <w:lvl w:ilvl="0" w:tplc="D5443308">
      <w:start w:val="1"/>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0D954C9"/>
    <w:multiLevelType w:val="hybridMultilevel"/>
    <w:tmpl w:val="25822DF0"/>
    <w:lvl w:ilvl="0" w:tplc="08090001">
      <w:start w:val="1"/>
      <w:numFmt w:val="bullet"/>
      <w:lvlText w:val=""/>
      <w:lvlJc w:val="left"/>
      <w:pPr>
        <w:ind w:left="1295" w:hanging="360"/>
      </w:pPr>
      <w:rPr>
        <w:rFonts w:ascii="Symbol" w:hAnsi="Symbol" w:hint="default"/>
      </w:rPr>
    </w:lvl>
    <w:lvl w:ilvl="1" w:tplc="08090003" w:tentative="1">
      <w:start w:val="1"/>
      <w:numFmt w:val="bullet"/>
      <w:lvlText w:val="o"/>
      <w:lvlJc w:val="left"/>
      <w:pPr>
        <w:ind w:left="2015" w:hanging="360"/>
      </w:pPr>
      <w:rPr>
        <w:rFonts w:ascii="Courier New" w:hAnsi="Courier New" w:cs="Courier New" w:hint="default"/>
      </w:rPr>
    </w:lvl>
    <w:lvl w:ilvl="2" w:tplc="08090005" w:tentative="1">
      <w:start w:val="1"/>
      <w:numFmt w:val="bullet"/>
      <w:lvlText w:val=""/>
      <w:lvlJc w:val="left"/>
      <w:pPr>
        <w:ind w:left="2735" w:hanging="360"/>
      </w:pPr>
      <w:rPr>
        <w:rFonts w:ascii="Wingdings" w:hAnsi="Wingdings" w:hint="default"/>
      </w:rPr>
    </w:lvl>
    <w:lvl w:ilvl="3" w:tplc="08090001" w:tentative="1">
      <w:start w:val="1"/>
      <w:numFmt w:val="bullet"/>
      <w:lvlText w:val=""/>
      <w:lvlJc w:val="left"/>
      <w:pPr>
        <w:ind w:left="3455" w:hanging="360"/>
      </w:pPr>
      <w:rPr>
        <w:rFonts w:ascii="Symbol" w:hAnsi="Symbol" w:hint="default"/>
      </w:rPr>
    </w:lvl>
    <w:lvl w:ilvl="4" w:tplc="08090003" w:tentative="1">
      <w:start w:val="1"/>
      <w:numFmt w:val="bullet"/>
      <w:lvlText w:val="o"/>
      <w:lvlJc w:val="left"/>
      <w:pPr>
        <w:ind w:left="4175" w:hanging="360"/>
      </w:pPr>
      <w:rPr>
        <w:rFonts w:ascii="Courier New" w:hAnsi="Courier New" w:cs="Courier New" w:hint="default"/>
      </w:rPr>
    </w:lvl>
    <w:lvl w:ilvl="5" w:tplc="08090005" w:tentative="1">
      <w:start w:val="1"/>
      <w:numFmt w:val="bullet"/>
      <w:lvlText w:val=""/>
      <w:lvlJc w:val="left"/>
      <w:pPr>
        <w:ind w:left="4895" w:hanging="360"/>
      </w:pPr>
      <w:rPr>
        <w:rFonts w:ascii="Wingdings" w:hAnsi="Wingdings" w:hint="default"/>
      </w:rPr>
    </w:lvl>
    <w:lvl w:ilvl="6" w:tplc="08090001" w:tentative="1">
      <w:start w:val="1"/>
      <w:numFmt w:val="bullet"/>
      <w:lvlText w:val=""/>
      <w:lvlJc w:val="left"/>
      <w:pPr>
        <w:ind w:left="5615" w:hanging="360"/>
      </w:pPr>
      <w:rPr>
        <w:rFonts w:ascii="Symbol" w:hAnsi="Symbol" w:hint="default"/>
      </w:rPr>
    </w:lvl>
    <w:lvl w:ilvl="7" w:tplc="08090003" w:tentative="1">
      <w:start w:val="1"/>
      <w:numFmt w:val="bullet"/>
      <w:lvlText w:val="o"/>
      <w:lvlJc w:val="left"/>
      <w:pPr>
        <w:ind w:left="6335" w:hanging="360"/>
      </w:pPr>
      <w:rPr>
        <w:rFonts w:ascii="Courier New" w:hAnsi="Courier New" w:cs="Courier New" w:hint="default"/>
      </w:rPr>
    </w:lvl>
    <w:lvl w:ilvl="8" w:tplc="08090005" w:tentative="1">
      <w:start w:val="1"/>
      <w:numFmt w:val="bullet"/>
      <w:lvlText w:val=""/>
      <w:lvlJc w:val="left"/>
      <w:pPr>
        <w:ind w:left="7055" w:hanging="360"/>
      </w:pPr>
      <w:rPr>
        <w:rFonts w:ascii="Wingdings" w:hAnsi="Wingdings" w:hint="default"/>
      </w:rPr>
    </w:lvl>
  </w:abstractNum>
  <w:abstractNum w:abstractNumId="43">
    <w:nsid w:val="212136A4"/>
    <w:multiLevelType w:val="hybridMultilevel"/>
    <w:tmpl w:val="673835B2"/>
    <w:lvl w:ilvl="0" w:tplc="006A2CDC">
      <w:start w:val="17"/>
      <w:numFmt w:val="decimal"/>
      <w:lvlText w:val="%1."/>
      <w:lvlJc w:val="left"/>
      <w:pPr>
        <w:ind w:left="502" w:hanging="360"/>
      </w:pPr>
      <w:rPr>
        <w:rFonts w:hint="default"/>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14E57B9"/>
    <w:multiLevelType w:val="hybridMultilevel"/>
    <w:tmpl w:val="43DCA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215912ED"/>
    <w:multiLevelType w:val="hybridMultilevel"/>
    <w:tmpl w:val="8BCE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1737982"/>
    <w:multiLevelType w:val="hybridMultilevel"/>
    <w:tmpl w:val="92AEBC64"/>
    <w:lvl w:ilvl="0" w:tplc="D5443308">
      <w:start w:val="1"/>
      <w:numFmt w:val="decimal"/>
      <w:lvlText w:val="%1.0"/>
      <w:lvlJc w:val="left"/>
      <w:pPr>
        <w:ind w:left="1094" w:hanging="360"/>
      </w:pPr>
      <w:rPr>
        <w:rFonts w:hint="default"/>
        <w:color w:val="auto"/>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47">
    <w:nsid w:val="21D174AE"/>
    <w:multiLevelType w:val="hybridMultilevel"/>
    <w:tmpl w:val="20409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21D46865"/>
    <w:multiLevelType w:val="hybridMultilevel"/>
    <w:tmpl w:val="1AB26D10"/>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9">
    <w:nsid w:val="23356481"/>
    <w:multiLevelType w:val="multilevel"/>
    <w:tmpl w:val="871CB72A"/>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4256971"/>
    <w:multiLevelType w:val="hybridMultilevel"/>
    <w:tmpl w:val="D5B8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24A62164"/>
    <w:multiLevelType w:val="hybridMultilevel"/>
    <w:tmpl w:val="7E82D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26036CEA"/>
    <w:multiLevelType w:val="hybridMultilevel"/>
    <w:tmpl w:val="2AEC11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nsid w:val="27011553"/>
    <w:multiLevelType w:val="hybridMultilevel"/>
    <w:tmpl w:val="AA4EEF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4">
    <w:nsid w:val="278A2155"/>
    <w:multiLevelType w:val="hybridMultilevel"/>
    <w:tmpl w:val="F66C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AF2E96"/>
    <w:multiLevelType w:val="hybridMultilevel"/>
    <w:tmpl w:val="E352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E70F11"/>
    <w:multiLevelType w:val="hybridMultilevel"/>
    <w:tmpl w:val="868661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7">
    <w:nsid w:val="27EA00F3"/>
    <w:multiLevelType w:val="hybridMultilevel"/>
    <w:tmpl w:val="EF0E6CCA"/>
    <w:lvl w:ilvl="0" w:tplc="1DB4EF3A">
      <w:start w:val="4"/>
      <w:numFmt w:val="decimal"/>
      <w:lvlText w:val="%1."/>
      <w:lvlJc w:val="left"/>
      <w:pPr>
        <w:tabs>
          <w:tab w:val="num" w:pos="502"/>
        </w:tabs>
        <w:ind w:left="502" w:hanging="360"/>
      </w:pPr>
      <w:rPr>
        <w:rFonts w:hint="default"/>
        <w:b w:val="0"/>
        <w:i w:val="0"/>
        <w:color w:val="auto"/>
        <w14:shadow w14:blurRad="50800" w14:dist="50800" w14:dir="5400000" w14:sx="0" w14:sy="0" w14:kx="0" w14:ky="0" w14:algn="ctr">
          <w14:schemeClr w14:val="bg1">
            <w14:lumMod w14:val="95000"/>
          </w14:schemeClr>
        </w14:shadow>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58">
    <w:nsid w:val="286B4228"/>
    <w:multiLevelType w:val="multilevel"/>
    <w:tmpl w:val="4FE680EC"/>
    <w:lvl w:ilvl="0">
      <w:start w:val="1"/>
      <w:numFmt w:val="bullet"/>
      <w:lvlText w:val=""/>
      <w:lvlJc w:val="left"/>
      <w:pPr>
        <w:ind w:left="360" w:hanging="360"/>
      </w:pPr>
      <w:rPr>
        <w:rFonts w:ascii="Symbol" w:hAnsi="Symbol"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287975D0"/>
    <w:multiLevelType w:val="multilevel"/>
    <w:tmpl w:val="E9224C26"/>
    <w:lvl w:ilvl="0">
      <w:start w:val="8"/>
      <w:numFmt w:val="decimal"/>
      <w:lvlText w:val="2.%1"/>
      <w:lvlJc w:val="left"/>
      <w:pPr>
        <w:ind w:left="502" w:hanging="360"/>
      </w:pPr>
      <w:rPr>
        <w:rFonts w:hint="default"/>
        <w:b w:val="0"/>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60">
    <w:nsid w:val="28AB6573"/>
    <w:multiLevelType w:val="hybridMultilevel"/>
    <w:tmpl w:val="107837E8"/>
    <w:lvl w:ilvl="0" w:tplc="E5DA7E06">
      <w:start w:val="1"/>
      <w:numFmt w:val="bullet"/>
      <w:lvlText w:val=""/>
      <w:lvlJc w:val="left"/>
      <w:pPr>
        <w:ind w:left="107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28BB4DDE"/>
    <w:multiLevelType w:val="hybridMultilevel"/>
    <w:tmpl w:val="0BAC471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2">
    <w:nsid w:val="28C71B9F"/>
    <w:multiLevelType w:val="hybridMultilevel"/>
    <w:tmpl w:val="9508FE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3">
    <w:nsid w:val="298A3D90"/>
    <w:multiLevelType w:val="hybridMultilevel"/>
    <w:tmpl w:val="797860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4">
    <w:nsid w:val="29A27558"/>
    <w:multiLevelType w:val="hybridMultilevel"/>
    <w:tmpl w:val="E09AF2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5">
    <w:nsid w:val="2A094A58"/>
    <w:multiLevelType w:val="multilevel"/>
    <w:tmpl w:val="0E5E8952"/>
    <w:lvl w:ilvl="0">
      <w:numFmt w:val="decimal"/>
      <w:lvlText w:val="7.%1"/>
      <w:lvlJc w:val="left"/>
      <w:pPr>
        <w:ind w:left="1080" w:hanging="360"/>
      </w:pPr>
      <w:rPr>
        <w:rFonts w:hint="default"/>
        <w:b/>
        <w:i w:val="0"/>
        <w:color w:val="auto"/>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6">
    <w:nsid w:val="2AF122BF"/>
    <w:multiLevelType w:val="multilevel"/>
    <w:tmpl w:val="3CDE9028"/>
    <w:lvl w:ilvl="0">
      <w:numFmt w:val="decimal"/>
      <w:lvlText w:val="12.%1"/>
      <w:lvlJc w:val="left"/>
      <w:pPr>
        <w:ind w:left="360" w:hanging="360"/>
      </w:pPr>
      <w:rPr>
        <w:rFonts w:hint="default"/>
        <w:b/>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2B656A8D"/>
    <w:multiLevelType w:val="hybridMultilevel"/>
    <w:tmpl w:val="CE0A12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8">
    <w:nsid w:val="2BE4738E"/>
    <w:multiLevelType w:val="hybridMultilevel"/>
    <w:tmpl w:val="DEC0E7B8"/>
    <w:lvl w:ilvl="0" w:tplc="CF8A8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BF50D20"/>
    <w:multiLevelType w:val="multilevel"/>
    <w:tmpl w:val="63B8F79C"/>
    <w:lvl w:ilvl="0">
      <w:start w:val="1"/>
      <w:numFmt w:val="none"/>
      <w:lvlText w:val="2.2"/>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2BF758E0"/>
    <w:multiLevelType w:val="hybridMultilevel"/>
    <w:tmpl w:val="B0567E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nsid w:val="2C3119E1"/>
    <w:multiLevelType w:val="hybridMultilevel"/>
    <w:tmpl w:val="E5D2504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72">
    <w:nsid w:val="2CC943DE"/>
    <w:multiLevelType w:val="hybridMultilevel"/>
    <w:tmpl w:val="95EE368A"/>
    <w:lvl w:ilvl="0" w:tplc="024C8B12">
      <w:start w:val="2"/>
      <w:numFmt w:val="decimal"/>
      <w:lvlText w:val="%1."/>
      <w:lvlJc w:val="left"/>
      <w:pPr>
        <w:tabs>
          <w:tab w:val="num" w:pos="374"/>
        </w:tabs>
        <w:ind w:left="374" w:hanging="360"/>
      </w:pPr>
      <w:rPr>
        <w:rFonts w:hint="default"/>
      </w:rPr>
    </w:lvl>
    <w:lvl w:ilvl="1" w:tplc="6218A310">
      <w:start w:val="13"/>
      <w:numFmt w:val="decimal"/>
      <w:lvlText w:val="%2"/>
      <w:lvlJc w:val="left"/>
      <w:pPr>
        <w:tabs>
          <w:tab w:val="num" w:pos="1094"/>
        </w:tabs>
        <w:ind w:left="1094" w:hanging="360"/>
      </w:pPr>
      <w:rPr>
        <w:rFonts w:hint="default"/>
      </w:r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73">
    <w:nsid w:val="2DB528A8"/>
    <w:multiLevelType w:val="hybridMultilevel"/>
    <w:tmpl w:val="880EF6BE"/>
    <w:lvl w:ilvl="0" w:tplc="12C2068C">
      <w:start w:val="12"/>
      <w:numFmt w:val="decimal"/>
      <w:lvlText w:val="%1."/>
      <w:lvlJc w:val="left"/>
      <w:pPr>
        <w:ind w:left="1070" w:hanging="360"/>
      </w:pPr>
      <w:rPr>
        <w:rFonts w:hint="default"/>
        <w:b w:val="0"/>
        <w:i w:val="0"/>
        <w:color w:val="auto"/>
        <w:u w:val="none"/>
      </w:rPr>
    </w:lvl>
    <w:lvl w:ilvl="1" w:tplc="08090001">
      <w:start w:val="1"/>
      <w:numFmt w:val="bullet"/>
      <w:lvlText w:val=""/>
      <w:lvlJc w:val="left"/>
      <w:pPr>
        <w:ind w:left="1506" w:hanging="360"/>
      </w:pPr>
      <w:rPr>
        <w:rFonts w:ascii="Symbol" w:hAnsi="Symbol"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4">
    <w:nsid w:val="2DFB2639"/>
    <w:multiLevelType w:val="hybridMultilevel"/>
    <w:tmpl w:val="406A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2E4C492C"/>
    <w:multiLevelType w:val="hybridMultilevel"/>
    <w:tmpl w:val="D206C2F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6">
    <w:nsid w:val="2EFC33D1"/>
    <w:multiLevelType w:val="hybridMultilevel"/>
    <w:tmpl w:val="1A2EA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nsid w:val="2F6D359A"/>
    <w:multiLevelType w:val="hybridMultilevel"/>
    <w:tmpl w:val="3298557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8">
    <w:nsid w:val="2FCD76BB"/>
    <w:multiLevelType w:val="hybridMultilevel"/>
    <w:tmpl w:val="7A42A878"/>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79">
    <w:nsid w:val="305605E8"/>
    <w:multiLevelType w:val="multilevel"/>
    <w:tmpl w:val="4FA83516"/>
    <w:lvl w:ilvl="0">
      <w:start w:val="8"/>
      <w:numFmt w:val="decimal"/>
      <w:lvlText w:val="2.%1"/>
      <w:lvlJc w:val="left"/>
      <w:pPr>
        <w:ind w:left="502" w:hanging="360"/>
      </w:pPr>
      <w:rPr>
        <w:rFonts w:hint="default"/>
        <w:b w:val="0"/>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80">
    <w:nsid w:val="30CF2BF8"/>
    <w:multiLevelType w:val="hybridMultilevel"/>
    <w:tmpl w:val="15221574"/>
    <w:lvl w:ilvl="0" w:tplc="5762DC42">
      <w:start w:val="12"/>
      <w:numFmt w:val="decimal"/>
      <w:lvlText w:val="%1."/>
      <w:lvlJc w:val="left"/>
      <w:pPr>
        <w:ind w:left="502" w:hanging="360"/>
      </w:pPr>
      <w:rPr>
        <w:rFonts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1">
    <w:nsid w:val="32035AA1"/>
    <w:multiLevelType w:val="hybridMultilevel"/>
    <w:tmpl w:val="15221574"/>
    <w:lvl w:ilvl="0" w:tplc="5762DC42">
      <w:start w:val="12"/>
      <w:numFmt w:val="decimal"/>
      <w:lvlText w:val="%1."/>
      <w:lvlJc w:val="left"/>
      <w:pPr>
        <w:ind w:left="502" w:hanging="360"/>
      </w:pPr>
      <w:rPr>
        <w:rFonts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2">
    <w:nsid w:val="32355375"/>
    <w:multiLevelType w:val="hybridMultilevel"/>
    <w:tmpl w:val="F7E49B7A"/>
    <w:lvl w:ilvl="0" w:tplc="83085B50">
      <w:start w:val="10"/>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327C085C"/>
    <w:multiLevelType w:val="hybridMultilevel"/>
    <w:tmpl w:val="7C66D0AC"/>
    <w:lvl w:ilvl="0" w:tplc="E5DA7E06">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nsid w:val="33310CA9"/>
    <w:multiLevelType w:val="hybridMultilevel"/>
    <w:tmpl w:val="AA9838B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5">
    <w:nsid w:val="33D82630"/>
    <w:multiLevelType w:val="hybridMultilevel"/>
    <w:tmpl w:val="4EC8E5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6">
    <w:nsid w:val="33F74008"/>
    <w:multiLevelType w:val="multilevel"/>
    <w:tmpl w:val="50EAB99C"/>
    <w:lvl w:ilvl="0">
      <w:numFmt w:val="none"/>
      <w:lvlText w:val="1.2"/>
      <w:lvlJc w:val="center"/>
      <w:pPr>
        <w:ind w:left="928" w:hanging="360"/>
      </w:pPr>
      <w:rPr>
        <w:rFonts w:hint="default"/>
        <w:b w:val="0"/>
        <w:i w:val="0"/>
        <w:color w:val="auto"/>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87">
    <w:nsid w:val="341F45BF"/>
    <w:multiLevelType w:val="hybridMultilevel"/>
    <w:tmpl w:val="F14EDF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8">
    <w:nsid w:val="357D31E5"/>
    <w:multiLevelType w:val="multilevel"/>
    <w:tmpl w:val="47F6290E"/>
    <w:numStyleLink w:val="Style2"/>
  </w:abstractNum>
  <w:abstractNum w:abstractNumId="89">
    <w:nsid w:val="35B52ADE"/>
    <w:multiLevelType w:val="hybridMultilevel"/>
    <w:tmpl w:val="804A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36342879"/>
    <w:multiLevelType w:val="multilevel"/>
    <w:tmpl w:val="47F6290E"/>
    <w:lvl w:ilvl="0">
      <w:start w:val="1"/>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37266F7D"/>
    <w:multiLevelType w:val="hybridMultilevel"/>
    <w:tmpl w:val="98127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37865C6F"/>
    <w:multiLevelType w:val="hybridMultilevel"/>
    <w:tmpl w:val="EDA45B68"/>
    <w:lvl w:ilvl="0" w:tplc="2C38D10A">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38556009"/>
    <w:multiLevelType w:val="hybridMultilevel"/>
    <w:tmpl w:val="180E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3A866BDE"/>
    <w:multiLevelType w:val="multilevel"/>
    <w:tmpl w:val="CA0E03F2"/>
    <w:lvl w:ilvl="0">
      <w:numFmt w:val="decimal"/>
      <w:lvlText w:val="10.%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3B0F7A83"/>
    <w:multiLevelType w:val="multilevel"/>
    <w:tmpl w:val="434069BA"/>
    <w:lvl w:ilvl="0">
      <w:start w:val="1"/>
      <w:numFmt w:val="decimal"/>
      <w:lvlText w:val="5.%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3BC6611C"/>
    <w:multiLevelType w:val="hybridMultilevel"/>
    <w:tmpl w:val="6EA2A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7">
    <w:nsid w:val="3CD201FB"/>
    <w:multiLevelType w:val="hybridMultilevel"/>
    <w:tmpl w:val="69F8A666"/>
    <w:lvl w:ilvl="0" w:tplc="CF8A88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3D326210"/>
    <w:multiLevelType w:val="multilevel"/>
    <w:tmpl w:val="E9BA3332"/>
    <w:lvl w:ilvl="0">
      <w:numFmt w:val="decimal"/>
      <w:lvlText w:val="3.%1"/>
      <w:lvlJc w:val="left"/>
      <w:pPr>
        <w:ind w:left="786"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3D5700F5"/>
    <w:multiLevelType w:val="hybridMultilevel"/>
    <w:tmpl w:val="536849F6"/>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00">
    <w:nsid w:val="3DD83FD8"/>
    <w:multiLevelType w:val="hybridMultilevel"/>
    <w:tmpl w:val="E50489FE"/>
    <w:lvl w:ilvl="0" w:tplc="62A605B6">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4259134D"/>
    <w:multiLevelType w:val="hybridMultilevel"/>
    <w:tmpl w:val="36F0EF7A"/>
    <w:lvl w:ilvl="0" w:tplc="918AD572">
      <w:start w:val="1"/>
      <w:numFmt w:val="bullet"/>
      <w:lvlText w:val=""/>
      <w:lvlJc w:val="left"/>
      <w:pPr>
        <w:tabs>
          <w:tab w:val="num" w:pos="1440"/>
        </w:tabs>
        <w:ind w:left="1440" w:hanging="360"/>
      </w:pPr>
      <w:rPr>
        <w:rFonts w:ascii="Symbol" w:hAnsi="Symbol" w:hint="default"/>
        <w:b w:val="0"/>
        <w:i w:val="0"/>
      </w:rPr>
    </w:lvl>
    <w:lvl w:ilvl="1" w:tplc="F2962836">
      <w:start w:val="1"/>
      <w:numFmt w:val="lowerLetter"/>
      <w:lvlText w:val="%2."/>
      <w:lvlJc w:val="left"/>
      <w:pPr>
        <w:tabs>
          <w:tab w:val="num" w:pos="2146"/>
        </w:tabs>
        <w:ind w:left="2146" w:hanging="360"/>
      </w:pPr>
      <w:rPr>
        <w:rFonts w:hint="default"/>
      </w:rPr>
    </w:lvl>
    <w:lvl w:ilvl="2" w:tplc="0409001B">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02">
    <w:nsid w:val="43590225"/>
    <w:multiLevelType w:val="hybridMultilevel"/>
    <w:tmpl w:val="4ED0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4C15AF8"/>
    <w:multiLevelType w:val="hybridMultilevel"/>
    <w:tmpl w:val="3690AFFE"/>
    <w:lvl w:ilvl="0" w:tplc="76A88B1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467C3902"/>
    <w:multiLevelType w:val="multilevel"/>
    <w:tmpl w:val="0FDE0AD4"/>
    <w:lvl w:ilvl="0">
      <w:start w:val="12"/>
      <w:numFmt w:val="none"/>
      <w:lvlText w:val="10.0"/>
      <w:lvlJc w:val="left"/>
      <w:pPr>
        <w:ind w:left="468" w:hanging="468"/>
      </w:pPr>
      <w:rPr>
        <w:rFonts w:cs="Times New Roman" w:hint="default"/>
        <w:b/>
      </w:rPr>
    </w:lvl>
    <w:lvl w:ilvl="1">
      <w:start w:val="1"/>
      <w:numFmt w:val="decimal"/>
      <w:lvlText w:val="%1.%2"/>
      <w:lvlJc w:val="left"/>
      <w:pPr>
        <w:ind w:left="1188" w:hanging="468"/>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05">
    <w:nsid w:val="486F1820"/>
    <w:multiLevelType w:val="hybridMultilevel"/>
    <w:tmpl w:val="95F08DDE"/>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06">
    <w:nsid w:val="49FE5850"/>
    <w:multiLevelType w:val="hybridMultilevel"/>
    <w:tmpl w:val="A994036E"/>
    <w:lvl w:ilvl="0" w:tplc="E5DA7E06">
      <w:start w:val="1"/>
      <w:numFmt w:val="bullet"/>
      <w:lvlText w:val=""/>
      <w:lvlJc w:val="left"/>
      <w:pPr>
        <w:ind w:left="1094" w:hanging="360"/>
      </w:pPr>
      <w:rPr>
        <w:rFonts w:ascii="Symbol" w:hAnsi="Symbol" w:hint="default"/>
        <w:color w:val="000000" w:themeColor="text1"/>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07">
    <w:nsid w:val="4A4B5D83"/>
    <w:multiLevelType w:val="hybridMultilevel"/>
    <w:tmpl w:val="71729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nsid w:val="4A4C037F"/>
    <w:multiLevelType w:val="hybridMultilevel"/>
    <w:tmpl w:val="8C1E062E"/>
    <w:lvl w:ilvl="0" w:tplc="E4F2C87A">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4BAF3A1F"/>
    <w:multiLevelType w:val="hybridMultilevel"/>
    <w:tmpl w:val="3A8A0F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0">
    <w:nsid w:val="4D8C431B"/>
    <w:multiLevelType w:val="hybridMultilevel"/>
    <w:tmpl w:val="58A8A996"/>
    <w:lvl w:ilvl="0" w:tplc="2C38D10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4E096397"/>
    <w:multiLevelType w:val="hybridMultilevel"/>
    <w:tmpl w:val="B9A226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2">
    <w:nsid w:val="4F0E16BD"/>
    <w:multiLevelType w:val="hybridMultilevel"/>
    <w:tmpl w:val="42BC80E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4F622358"/>
    <w:multiLevelType w:val="multilevel"/>
    <w:tmpl w:val="2B6C1588"/>
    <w:lvl w:ilvl="0">
      <w:numFmt w:val="decimal"/>
      <w:lvlText w:val="10.%1"/>
      <w:lvlJc w:val="left"/>
      <w:pPr>
        <w:ind w:left="928"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50842635"/>
    <w:multiLevelType w:val="hybridMultilevel"/>
    <w:tmpl w:val="5C9E7AB4"/>
    <w:lvl w:ilvl="0" w:tplc="F9386E86">
      <w:numFmt w:val="decimal"/>
      <w:lvlText w:val="2.3%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508B31E7"/>
    <w:multiLevelType w:val="hybridMultilevel"/>
    <w:tmpl w:val="7504BF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6">
    <w:nsid w:val="51031E3B"/>
    <w:multiLevelType w:val="hybridMultilevel"/>
    <w:tmpl w:val="E392F65C"/>
    <w:lvl w:ilvl="0" w:tplc="AE28B822">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513E7DD3"/>
    <w:multiLevelType w:val="singleLevel"/>
    <w:tmpl w:val="46D6CBD2"/>
    <w:lvl w:ilvl="0">
      <w:start w:val="1"/>
      <w:numFmt w:val="bullet"/>
      <w:pStyle w:val="bullet4"/>
      <w:lvlText w:val=""/>
      <w:lvlJc w:val="left"/>
      <w:pPr>
        <w:tabs>
          <w:tab w:val="num" w:pos="360"/>
        </w:tabs>
        <w:ind w:left="340" w:hanging="340"/>
      </w:pPr>
      <w:rPr>
        <w:rFonts w:ascii="Wingdings" w:hAnsi="Wingdings" w:hint="default"/>
      </w:rPr>
    </w:lvl>
  </w:abstractNum>
  <w:abstractNum w:abstractNumId="118">
    <w:nsid w:val="523622C3"/>
    <w:multiLevelType w:val="multilevel"/>
    <w:tmpl w:val="227068C2"/>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19">
    <w:nsid w:val="529B3C00"/>
    <w:multiLevelType w:val="hybridMultilevel"/>
    <w:tmpl w:val="0552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29E35D1"/>
    <w:multiLevelType w:val="hybridMultilevel"/>
    <w:tmpl w:val="910E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31937DB"/>
    <w:multiLevelType w:val="multilevel"/>
    <w:tmpl w:val="A5461806"/>
    <w:lvl w:ilvl="0">
      <w:start w:val="12"/>
      <w:numFmt w:val="none"/>
      <w:lvlText w:val="14.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2">
    <w:nsid w:val="54352BCE"/>
    <w:multiLevelType w:val="hybridMultilevel"/>
    <w:tmpl w:val="D688AD34"/>
    <w:lvl w:ilvl="0" w:tplc="E5DA7E06">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nsid w:val="54FE5210"/>
    <w:multiLevelType w:val="hybridMultilevel"/>
    <w:tmpl w:val="E2661E62"/>
    <w:lvl w:ilvl="0" w:tplc="D5443308">
      <w:start w:val="1"/>
      <w:numFmt w:val="decimal"/>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55AD1129"/>
    <w:multiLevelType w:val="hybridMultilevel"/>
    <w:tmpl w:val="45288C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nsid w:val="56F838AA"/>
    <w:multiLevelType w:val="multilevel"/>
    <w:tmpl w:val="C126632C"/>
    <w:lvl w:ilvl="0">
      <w:numFmt w:val="decimal"/>
      <w:lvlText w:val="3.%1"/>
      <w:lvlJc w:val="left"/>
      <w:pPr>
        <w:ind w:left="502"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nsid w:val="57133C9F"/>
    <w:multiLevelType w:val="multilevel"/>
    <w:tmpl w:val="B1B850A0"/>
    <w:lvl w:ilvl="0">
      <w:start w:val="7"/>
      <w:numFmt w:val="none"/>
      <w:lvlText w:val="12.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7">
    <w:nsid w:val="574C5856"/>
    <w:multiLevelType w:val="multilevel"/>
    <w:tmpl w:val="F5FC810E"/>
    <w:lvl w:ilvl="0">
      <w:numFmt w:val="decimal"/>
      <w:lvlText w:val="1.%1"/>
      <w:lvlJc w:val="center"/>
      <w:pPr>
        <w:ind w:left="928" w:hanging="360"/>
      </w:pPr>
      <w:rPr>
        <w:rFonts w:hint="default"/>
        <w:b w:val="0"/>
        <w:i w:val="0"/>
        <w:color w:val="auto"/>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28">
    <w:nsid w:val="5901377F"/>
    <w:multiLevelType w:val="hybridMultilevel"/>
    <w:tmpl w:val="690A0742"/>
    <w:lvl w:ilvl="0" w:tplc="08090001">
      <w:start w:val="1"/>
      <w:numFmt w:val="bullet"/>
      <w:lvlText w:val=""/>
      <w:lvlJc w:val="left"/>
      <w:pPr>
        <w:ind w:left="720" w:hanging="360"/>
      </w:pPr>
      <w:rPr>
        <w:rFonts w:ascii="Symbol" w:hAnsi="Symbol" w:hint="default"/>
      </w:rPr>
    </w:lvl>
    <w:lvl w:ilvl="1" w:tplc="E5DA7E06">
      <w:start w:val="1"/>
      <w:numFmt w:val="bullet"/>
      <w:lvlText w:val=""/>
      <w:lvlJc w:val="left"/>
      <w:pPr>
        <w:ind w:left="1440" w:hanging="360"/>
      </w:pPr>
      <w:rPr>
        <w:rFonts w:ascii="Symbol" w:hAnsi="Symbo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5C352F56"/>
    <w:multiLevelType w:val="hybridMultilevel"/>
    <w:tmpl w:val="D052765C"/>
    <w:lvl w:ilvl="0" w:tplc="63C261B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5C7531E8"/>
    <w:multiLevelType w:val="hybridMultilevel"/>
    <w:tmpl w:val="157C8F16"/>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1">
    <w:nsid w:val="5D490F7E"/>
    <w:multiLevelType w:val="hybridMultilevel"/>
    <w:tmpl w:val="E3586AE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5E6A5D32"/>
    <w:multiLevelType w:val="multilevel"/>
    <w:tmpl w:val="0868E566"/>
    <w:lvl w:ilvl="0">
      <w:numFmt w:val="decimal"/>
      <w:lvlText w:val="13.%1"/>
      <w:lvlJc w:val="left"/>
      <w:pPr>
        <w:ind w:left="502" w:hanging="360"/>
      </w:pPr>
      <w:rPr>
        <w:rFonts w:hint="default"/>
        <w:b/>
        <w:i w:val="0"/>
        <w:color w:val="auto"/>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33">
    <w:nsid w:val="601128F1"/>
    <w:multiLevelType w:val="multilevel"/>
    <w:tmpl w:val="36E0BEA2"/>
    <w:lvl w:ilvl="0">
      <w:start w:val="4"/>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nsid w:val="61000C7E"/>
    <w:multiLevelType w:val="hybridMultilevel"/>
    <w:tmpl w:val="A3825BB6"/>
    <w:lvl w:ilvl="0" w:tplc="E5DA7E06">
      <w:start w:val="1"/>
      <w:numFmt w:val="bullet"/>
      <w:lvlText w:val=""/>
      <w:lvlJc w:val="left"/>
      <w:pPr>
        <w:ind w:left="2160" w:hanging="360"/>
      </w:pPr>
      <w:rPr>
        <w:rFonts w:ascii="Symbol" w:hAnsi="Symbol" w:hint="default"/>
        <w:color w:val="000000" w:themeColor="text1"/>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5">
    <w:nsid w:val="616F1889"/>
    <w:multiLevelType w:val="multilevel"/>
    <w:tmpl w:val="BA3056FA"/>
    <w:lvl w:ilvl="0">
      <w:start w:val="1"/>
      <w:numFmt w:val="decimal"/>
      <w:lvlText w:val="%1."/>
      <w:lvlJc w:val="left"/>
      <w:pPr>
        <w:tabs>
          <w:tab w:val="num" w:pos="1080"/>
        </w:tabs>
        <w:ind w:left="1080" w:hanging="360"/>
      </w:pPr>
      <w:rPr>
        <w:color w:val="auto"/>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6">
    <w:nsid w:val="61ED08E4"/>
    <w:multiLevelType w:val="multilevel"/>
    <w:tmpl w:val="36E0BEA2"/>
    <w:lvl w:ilvl="0">
      <w:start w:val="4"/>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nsid w:val="623C592F"/>
    <w:multiLevelType w:val="hybridMultilevel"/>
    <w:tmpl w:val="5DCA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8">
    <w:nsid w:val="632C544C"/>
    <w:multiLevelType w:val="multilevel"/>
    <w:tmpl w:val="47F6290E"/>
    <w:styleLink w:val="Style2"/>
    <w:lvl w:ilvl="0">
      <w:start w:val="1"/>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nsid w:val="666D33DB"/>
    <w:multiLevelType w:val="hybridMultilevel"/>
    <w:tmpl w:val="3BAEFFB2"/>
    <w:lvl w:ilvl="0" w:tplc="08090001">
      <w:start w:val="1"/>
      <w:numFmt w:val="bullet"/>
      <w:lvlText w:val=""/>
      <w:lvlJc w:val="left"/>
      <w:pPr>
        <w:ind w:left="1814" w:hanging="360"/>
      </w:pPr>
      <w:rPr>
        <w:rFonts w:ascii="Symbol" w:hAnsi="Symbol" w:hint="default"/>
      </w:rPr>
    </w:lvl>
    <w:lvl w:ilvl="1" w:tplc="08090003" w:tentative="1">
      <w:start w:val="1"/>
      <w:numFmt w:val="bullet"/>
      <w:lvlText w:val="o"/>
      <w:lvlJc w:val="left"/>
      <w:pPr>
        <w:ind w:left="2534" w:hanging="360"/>
      </w:pPr>
      <w:rPr>
        <w:rFonts w:ascii="Courier New" w:hAnsi="Courier New" w:cs="Courier New" w:hint="default"/>
      </w:rPr>
    </w:lvl>
    <w:lvl w:ilvl="2" w:tplc="08090005" w:tentative="1">
      <w:start w:val="1"/>
      <w:numFmt w:val="bullet"/>
      <w:lvlText w:val=""/>
      <w:lvlJc w:val="left"/>
      <w:pPr>
        <w:ind w:left="3254" w:hanging="360"/>
      </w:pPr>
      <w:rPr>
        <w:rFonts w:ascii="Wingdings" w:hAnsi="Wingdings" w:hint="default"/>
      </w:rPr>
    </w:lvl>
    <w:lvl w:ilvl="3" w:tplc="08090001" w:tentative="1">
      <w:start w:val="1"/>
      <w:numFmt w:val="bullet"/>
      <w:lvlText w:val=""/>
      <w:lvlJc w:val="left"/>
      <w:pPr>
        <w:ind w:left="3974" w:hanging="360"/>
      </w:pPr>
      <w:rPr>
        <w:rFonts w:ascii="Symbol" w:hAnsi="Symbol" w:hint="default"/>
      </w:rPr>
    </w:lvl>
    <w:lvl w:ilvl="4" w:tplc="08090003" w:tentative="1">
      <w:start w:val="1"/>
      <w:numFmt w:val="bullet"/>
      <w:lvlText w:val="o"/>
      <w:lvlJc w:val="left"/>
      <w:pPr>
        <w:ind w:left="4694" w:hanging="360"/>
      </w:pPr>
      <w:rPr>
        <w:rFonts w:ascii="Courier New" w:hAnsi="Courier New" w:cs="Courier New" w:hint="default"/>
      </w:rPr>
    </w:lvl>
    <w:lvl w:ilvl="5" w:tplc="08090005" w:tentative="1">
      <w:start w:val="1"/>
      <w:numFmt w:val="bullet"/>
      <w:lvlText w:val=""/>
      <w:lvlJc w:val="left"/>
      <w:pPr>
        <w:ind w:left="5414" w:hanging="360"/>
      </w:pPr>
      <w:rPr>
        <w:rFonts w:ascii="Wingdings" w:hAnsi="Wingdings" w:hint="default"/>
      </w:rPr>
    </w:lvl>
    <w:lvl w:ilvl="6" w:tplc="08090001" w:tentative="1">
      <w:start w:val="1"/>
      <w:numFmt w:val="bullet"/>
      <w:lvlText w:val=""/>
      <w:lvlJc w:val="left"/>
      <w:pPr>
        <w:ind w:left="6134" w:hanging="360"/>
      </w:pPr>
      <w:rPr>
        <w:rFonts w:ascii="Symbol" w:hAnsi="Symbol" w:hint="default"/>
      </w:rPr>
    </w:lvl>
    <w:lvl w:ilvl="7" w:tplc="08090003" w:tentative="1">
      <w:start w:val="1"/>
      <w:numFmt w:val="bullet"/>
      <w:lvlText w:val="o"/>
      <w:lvlJc w:val="left"/>
      <w:pPr>
        <w:ind w:left="6854" w:hanging="360"/>
      </w:pPr>
      <w:rPr>
        <w:rFonts w:ascii="Courier New" w:hAnsi="Courier New" w:cs="Courier New" w:hint="default"/>
      </w:rPr>
    </w:lvl>
    <w:lvl w:ilvl="8" w:tplc="08090005" w:tentative="1">
      <w:start w:val="1"/>
      <w:numFmt w:val="bullet"/>
      <w:lvlText w:val=""/>
      <w:lvlJc w:val="left"/>
      <w:pPr>
        <w:ind w:left="7574" w:hanging="360"/>
      </w:pPr>
      <w:rPr>
        <w:rFonts w:ascii="Wingdings" w:hAnsi="Wingdings" w:hint="default"/>
      </w:rPr>
    </w:lvl>
  </w:abstractNum>
  <w:abstractNum w:abstractNumId="140">
    <w:nsid w:val="669E7696"/>
    <w:multiLevelType w:val="hybridMultilevel"/>
    <w:tmpl w:val="9DB6D34A"/>
    <w:lvl w:ilvl="0" w:tplc="47308874">
      <w:start w:val="12"/>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1">
    <w:nsid w:val="675D19DF"/>
    <w:multiLevelType w:val="multilevel"/>
    <w:tmpl w:val="5986C6E2"/>
    <w:lvl w:ilvl="0">
      <w:start w:val="10"/>
      <w:numFmt w:val="decimal"/>
      <w:lvlText w:val="%1.0"/>
      <w:lvlJc w:val="left"/>
      <w:pPr>
        <w:ind w:left="184" w:hanging="468"/>
      </w:pPr>
      <w:rPr>
        <w:rFonts w:hint="default"/>
      </w:rPr>
    </w:lvl>
    <w:lvl w:ilvl="1">
      <w:start w:val="1"/>
      <w:numFmt w:val="decimal"/>
      <w:lvlText w:val="%1.%2"/>
      <w:lvlJc w:val="left"/>
      <w:pPr>
        <w:ind w:left="904" w:hanging="468"/>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956" w:hanging="1080"/>
      </w:pPr>
      <w:rPr>
        <w:rFonts w:hint="default"/>
      </w:rPr>
    </w:lvl>
    <w:lvl w:ilvl="4">
      <w:start w:val="1"/>
      <w:numFmt w:val="decimal"/>
      <w:lvlText w:val="%1.%2.%3.%4.%5"/>
      <w:lvlJc w:val="left"/>
      <w:pPr>
        <w:ind w:left="3676" w:hanging="1080"/>
      </w:pPr>
      <w:rPr>
        <w:rFonts w:hint="default"/>
      </w:rPr>
    </w:lvl>
    <w:lvl w:ilvl="5">
      <w:start w:val="1"/>
      <w:numFmt w:val="decimal"/>
      <w:lvlText w:val="%1.%2.%3.%4.%5.%6"/>
      <w:lvlJc w:val="left"/>
      <w:pPr>
        <w:ind w:left="4756" w:hanging="1440"/>
      </w:pPr>
      <w:rPr>
        <w:rFonts w:hint="default"/>
      </w:rPr>
    </w:lvl>
    <w:lvl w:ilvl="6">
      <w:start w:val="1"/>
      <w:numFmt w:val="decimal"/>
      <w:lvlText w:val="%1.%2.%3.%4.%5.%6.%7"/>
      <w:lvlJc w:val="left"/>
      <w:pPr>
        <w:ind w:left="5476" w:hanging="1440"/>
      </w:pPr>
      <w:rPr>
        <w:rFonts w:hint="default"/>
      </w:rPr>
    </w:lvl>
    <w:lvl w:ilvl="7">
      <w:start w:val="1"/>
      <w:numFmt w:val="decimal"/>
      <w:lvlText w:val="%1.%2.%3.%4.%5.%6.%7.%8"/>
      <w:lvlJc w:val="left"/>
      <w:pPr>
        <w:ind w:left="6556" w:hanging="1800"/>
      </w:pPr>
      <w:rPr>
        <w:rFonts w:hint="default"/>
      </w:rPr>
    </w:lvl>
    <w:lvl w:ilvl="8">
      <w:start w:val="1"/>
      <w:numFmt w:val="decimal"/>
      <w:lvlText w:val="%1.%2.%3.%4.%5.%6.%7.%8.%9"/>
      <w:lvlJc w:val="left"/>
      <w:pPr>
        <w:ind w:left="7276" w:hanging="1800"/>
      </w:pPr>
      <w:rPr>
        <w:rFonts w:hint="default"/>
      </w:rPr>
    </w:lvl>
  </w:abstractNum>
  <w:abstractNum w:abstractNumId="142">
    <w:nsid w:val="67D648AC"/>
    <w:multiLevelType w:val="multilevel"/>
    <w:tmpl w:val="36E0BEA2"/>
    <w:lvl w:ilvl="0">
      <w:start w:val="4"/>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nsid w:val="68055AD0"/>
    <w:multiLevelType w:val="hybridMultilevel"/>
    <w:tmpl w:val="4280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A9A5BCC"/>
    <w:multiLevelType w:val="hybridMultilevel"/>
    <w:tmpl w:val="AF141F5C"/>
    <w:lvl w:ilvl="0" w:tplc="55A61BD4">
      <w:start w:val="1"/>
      <w:numFmt w:val="bullet"/>
      <w:lvlText w:val=""/>
      <w:lvlJc w:val="left"/>
      <w:pPr>
        <w:ind w:left="1211"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ABD202E"/>
    <w:multiLevelType w:val="hybridMultilevel"/>
    <w:tmpl w:val="5AF293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6">
    <w:nsid w:val="6CAB39ED"/>
    <w:multiLevelType w:val="hybridMultilevel"/>
    <w:tmpl w:val="BB10C482"/>
    <w:lvl w:ilvl="0" w:tplc="12C2068C">
      <w:start w:val="12"/>
      <w:numFmt w:val="decimal"/>
      <w:lvlText w:val="%1."/>
      <w:lvlJc w:val="left"/>
      <w:pPr>
        <w:ind w:left="502" w:hanging="360"/>
      </w:pPr>
      <w:rPr>
        <w:rFonts w:hint="default"/>
        <w:b w:val="0"/>
        <w:i w:val="0"/>
        <w:color w:val="auto"/>
        <w:u w:val="none"/>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7">
    <w:nsid w:val="6D733245"/>
    <w:multiLevelType w:val="multilevel"/>
    <w:tmpl w:val="9514A2EE"/>
    <w:lvl w:ilvl="0">
      <w:start w:val="1"/>
      <w:numFmt w:val="decimal"/>
      <w:lvlText w:val="2.5%1"/>
      <w:lvlJc w:val="center"/>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6D800D00"/>
    <w:multiLevelType w:val="hybridMultilevel"/>
    <w:tmpl w:val="414A05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9">
    <w:nsid w:val="6DBD30F9"/>
    <w:multiLevelType w:val="hybridMultilevel"/>
    <w:tmpl w:val="E0501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DD252A9"/>
    <w:multiLevelType w:val="hybridMultilevel"/>
    <w:tmpl w:val="C6FC5D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1">
    <w:nsid w:val="6EA57E58"/>
    <w:multiLevelType w:val="hybridMultilevel"/>
    <w:tmpl w:val="9CD0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ED82D35"/>
    <w:multiLevelType w:val="hybridMultilevel"/>
    <w:tmpl w:val="16FCFF7E"/>
    <w:lvl w:ilvl="0" w:tplc="918AD572">
      <w:start w:val="1"/>
      <w:numFmt w:val="bullet"/>
      <w:lvlText w:val=""/>
      <w:lvlJc w:val="left"/>
      <w:pPr>
        <w:tabs>
          <w:tab w:val="num" w:pos="734"/>
        </w:tabs>
        <w:ind w:left="734" w:hanging="360"/>
      </w:pPr>
      <w:rPr>
        <w:rFonts w:ascii="Symbol" w:hAnsi="Symbol" w:hint="default"/>
        <w:b w:val="0"/>
        <w:i w:val="0"/>
      </w:rPr>
    </w:lvl>
    <w:lvl w:ilvl="1" w:tplc="F29628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16F09FF"/>
    <w:multiLevelType w:val="hybridMultilevel"/>
    <w:tmpl w:val="7C86A7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4">
    <w:nsid w:val="72574E2D"/>
    <w:multiLevelType w:val="hybridMultilevel"/>
    <w:tmpl w:val="20FEFDA0"/>
    <w:lvl w:ilvl="0" w:tplc="FFFFFFFF">
      <w:start w:val="1"/>
      <w:numFmt w:val="decimal"/>
      <w:pStyle w:val="Style1"/>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55">
    <w:nsid w:val="72F87503"/>
    <w:multiLevelType w:val="hybridMultilevel"/>
    <w:tmpl w:val="6F6876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6">
    <w:nsid w:val="73096698"/>
    <w:multiLevelType w:val="hybridMultilevel"/>
    <w:tmpl w:val="9DE01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7">
    <w:nsid w:val="740A7CC1"/>
    <w:multiLevelType w:val="hybridMultilevel"/>
    <w:tmpl w:val="866C4A70"/>
    <w:lvl w:ilvl="0" w:tplc="2C38D10A">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766A0175"/>
    <w:multiLevelType w:val="multilevel"/>
    <w:tmpl w:val="1848F0A8"/>
    <w:lvl w:ilvl="0">
      <w:start w:val="10"/>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9">
    <w:nsid w:val="770E159A"/>
    <w:multiLevelType w:val="multilevel"/>
    <w:tmpl w:val="8130A3AC"/>
    <w:lvl w:ilvl="0">
      <w:numFmt w:val="decimal"/>
      <w:lvlText w:val="2.%1"/>
      <w:lvlJc w:val="left"/>
      <w:pPr>
        <w:ind w:left="360" w:hanging="360"/>
      </w:pPr>
      <w:rPr>
        <w:rFonts w:hint="default"/>
        <w:b w:val="0"/>
      </w:rPr>
    </w:lvl>
    <w:lvl w:ilvl="1">
      <w:start w:val="6"/>
      <w:numFmt w:val="decimal"/>
      <w:lvlText w:val="2.%2"/>
      <w:lvlJc w:val="left"/>
      <w:pPr>
        <w:ind w:left="360" w:hanging="360"/>
      </w:pPr>
      <w:rPr>
        <w:rFonts w:hint="default"/>
      </w:rPr>
    </w:lvl>
    <w:lvl w:ilvl="2">
      <w:start w:val="1"/>
      <w:numFmt w:val="none"/>
      <w:lvlText w:val="2.7"/>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0">
    <w:nsid w:val="793662A1"/>
    <w:multiLevelType w:val="hybridMultilevel"/>
    <w:tmpl w:val="D0F24C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1">
    <w:nsid w:val="7B1473B0"/>
    <w:multiLevelType w:val="hybridMultilevel"/>
    <w:tmpl w:val="95264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B757DD4"/>
    <w:multiLevelType w:val="hybridMultilevel"/>
    <w:tmpl w:val="E8C2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C134343"/>
    <w:multiLevelType w:val="hybridMultilevel"/>
    <w:tmpl w:val="6A9C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D7F40B0"/>
    <w:multiLevelType w:val="hybridMultilevel"/>
    <w:tmpl w:val="CE38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D7F5032"/>
    <w:multiLevelType w:val="hybridMultilevel"/>
    <w:tmpl w:val="206891E4"/>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66">
    <w:nsid w:val="7DCA1478"/>
    <w:multiLevelType w:val="hybridMultilevel"/>
    <w:tmpl w:val="CF92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EB53CAB"/>
    <w:multiLevelType w:val="multilevel"/>
    <w:tmpl w:val="AC5CC982"/>
    <w:lvl w:ilvl="0">
      <w:start w:val="8"/>
      <w:numFmt w:val="decimal"/>
      <w:lvlText w:val="2.%1"/>
      <w:lvlJc w:val="left"/>
      <w:pPr>
        <w:ind w:left="502" w:hanging="360"/>
      </w:pPr>
      <w:rPr>
        <w:rFonts w:hint="default"/>
        <w:b w:val="0"/>
      </w:rPr>
    </w:lvl>
    <w:lvl w:ilvl="1">
      <w:start w:val="6"/>
      <w:numFmt w:val="decimal"/>
      <w:lvlText w:val="%1.%2"/>
      <w:lvlJc w:val="left"/>
      <w:pPr>
        <w:ind w:left="502" w:hanging="360"/>
      </w:pPr>
      <w:rPr>
        <w:rFonts w:hint="default"/>
      </w:rPr>
    </w:lvl>
    <w:lvl w:ilvl="2">
      <w:start w:val="1"/>
      <w:numFmt w:val="none"/>
      <w:lvlText w:val="2.7"/>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168">
    <w:nsid w:val="7EC04DC2"/>
    <w:multiLevelType w:val="hybridMultilevel"/>
    <w:tmpl w:val="619618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9">
    <w:nsid w:val="7F4B3661"/>
    <w:multiLevelType w:val="multilevel"/>
    <w:tmpl w:val="36E0BEA2"/>
    <w:lvl w:ilvl="0">
      <w:start w:val="4"/>
      <w:numFmt w:val="decimal"/>
      <w:lvlText w:val="2.%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7"/>
  </w:num>
  <w:num w:numId="2">
    <w:abstractNumId w:val="154"/>
  </w:num>
  <w:num w:numId="3">
    <w:abstractNumId w:val="135"/>
  </w:num>
  <w:num w:numId="4">
    <w:abstractNumId w:val="23"/>
  </w:num>
  <w:num w:numId="5">
    <w:abstractNumId w:val="152"/>
  </w:num>
  <w:num w:numId="6">
    <w:abstractNumId w:val="101"/>
  </w:num>
  <w:num w:numId="7">
    <w:abstractNumId w:val="150"/>
  </w:num>
  <w:num w:numId="8">
    <w:abstractNumId w:val="72"/>
  </w:num>
  <w:num w:numId="9">
    <w:abstractNumId w:val="57"/>
  </w:num>
  <w:num w:numId="10">
    <w:abstractNumId w:val="45"/>
  </w:num>
  <w:num w:numId="11">
    <w:abstractNumId w:val="32"/>
  </w:num>
  <w:num w:numId="12">
    <w:abstractNumId w:val="119"/>
  </w:num>
  <w:num w:numId="13">
    <w:abstractNumId w:val="127"/>
  </w:num>
  <w:num w:numId="14">
    <w:abstractNumId w:val="91"/>
  </w:num>
  <w:num w:numId="15">
    <w:abstractNumId w:val="24"/>
  </w:num>
  <w:num w:numId="16">
    <w:abstractNumId w:val="12"/>
  </w:num>
  <w:num w:numId="17">
    <w:abstractNumId w:val="99"/>
  </w:num>
  <w:num w:numId="18">
    <w:abstractNumId w:val="33"/>
  </w:num>
  <w:num w:numId="19">
    <w:abstractNumId w:val="124"/>
  </w:num>
  <w:num w:numId="20">
    <w:abstractNumId w:val="161"/>
  </w:num>
  <w:num w:numId="2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2"/>
  </w:num>
  <w:num w:numId="23">
    <w:abstractNumId w:val="120"/>
  </w:num>
  <w:num w:numId="24">
    <w:abstractNumId w:val="112"/>
  </w:num>
  <w:num w:numId="25">
    <w:abstractNumId w:val="67"/>
  </w:num>
  <w:num w:numId="26">
    <w:abstractNumId w:val="68"/>
  </w:num>
  <w:num w:numId="27">
    <w:abstractNumId w:val="22"/>
  </w:num>
  <w:num w:numId="28">
    <w:abstractNumId w:val="97"/>
  </w:num>
  <w:num w:numId="29">
    <w:abstractNumId w:val="17"/>
  </w:num>
  <w:num w:numId="30">
    <w:abstractNumId w:val="61"/>
  </w:num>
  <w:num w:numId="31">
    <w:abstractNumId w:val="149"/>
  </w:num>
  <w:num w:numId="32">
    <w:abstractNumId w:val="40"/>
  </w:num>
  <w:num w:numId="33">
    <w:abstractNumId w:val="140"/>
  </w:num>
  <w:num w:numId="34">
    <w:abstractNumId w:val="31"/>
  </w:num>
  <w:num w:numId="35">
    <w:abstractNumId w:val="63"/>
  </w:num>
  <w:num w:numId="36">
    <w:abstractNumId w:val="130"/>
  </w:num>
  <w:num w:numId="37">
    <w:abstractNumId w:val="130"/>
  </w:num>
  <w:num w:numId="38">
    <w:abstractNumId w:val="93"/>
  </w:num>
  <w:num w:numId="39">
    <w:abstractNumId w:val="80"/>
  </w:num>
  <w:num w:numId="40">
    <w:abstractNumId w:val="81"/>
  </w:num>
  <w:num w:numId="41">
    <w:abstractNumId w:val="8"/>
  </w:num>
  <w:num w:numId="42">
    <w:abstractNumId w:val="6"/>
  </w:num>
  <w:num w:numId="4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0"/>
  </w:num>
  <w:num w:numId="46">
    <w:abstractNumId w:val="165"/>
  </w:num>
  <w:num w:numId="47">
    <w:abstractNumId w:val="163"/>
  </w:num>
  <w:num w:numId="48">
    <w:abstractNumId w:val="85"/>
  </w:num>
  <w:num w:numId="49">
    <w:abstractNumId w:val="131"/>
  </w:num>
  <w:num w:numId="50">
    <w:abstractNumId w:val="71"/>
  </w:num>
  <w:num w:numId="51">
    <w:abstractNumId w:val="56"/>
  </w:num>
  <w:num w:numId="52">
    <w:abstractNumId w:val="20"/>
  </w:num>
  <w:num w:numId="53">
    <w:abstractNumId w:val="96"/>
  </w:num>
  <w:num w:numId="54">
    <w:abstractNumId w:val="47"/>
  </w:num>
  <w:num w:numId="55">
    <w:abstractNumId w:val="111"/>
  </w:num>
  <w:num w:numId="56">
    <w:abstractNumId w:val="161"/>
  </w:num>
  <w:num w:numId="57">
    <w:abstractNumId w:val="151"/>
  </w:num>
  <w:num w:numId="58">
    <w:abstractNumId w:val="11"/>
  </w:num>
  <w:num w:numId="59">
    <w:abstractNumId w:val="39"/>
  </w:num>
  <w:num w:numId="60">
    <w:abstractNumId w:val="51"/>
  </w:num>
  <w:num w:numId="61">
    <w:abstractNumId w:val="55"/>
  </w:num>
  <w:num w:numId="62">
    <w:abstractNumId w:val="36"/>
  </w:num>
  <w:num w:numId="63">
    <w:abstractNumId w:val="146"/>
  </w:num>
  <w:num w:numId="64">
    <w:abstractNumId w:val="4"/>
  </w:num>
  <w:num w:numId="65">
    <w:abstractNumId w:val="128"/>
  </w:num>
  <w:num w:numId="66">
    <w:abstractNumId w:val="75"/>
  </w:num>
  <w:num w:numId="67">
    <w:abstractNumId w:val="35"/>
  </w:num>
  <w:num w:numId="68">
    <w:abstractNumId w:val="77"/>
  </w:num>
  <w:num w:numId="69">
    <w:abstractNumId w:val="7"/>
  </w:num>
  <w:num w:numId="70">
    <w:abstractNumId w:val="25"/>
  </w:num>
  <w:num w:numId="71">
    <w:abstractNumId w:val="21"/>
  </w:num>
  <w:num w:numId="72">
    <w:abstractNumId w:val="164"/>
  </w:num>
  <w:num w:numId="73">
    <w:abstractNumId w:val="73"/>
  </w:num>
  <w:num w:numId="74">
    <w:abstractNumId w:val="13"/>
  </w:num>
  <w:num w:numId="75">
    <w:abstractNumId w:val="63"/>
  </w:num>
  <w:num w:numId="76">
    <w:abstractNumId w:val="130"/>
  </w:num>
  <w:num w:numId="77">
    <w:abstractNumId w:val="129"/>
  </w:num>
  <w:num w:numId="78">
    <w:abstractNumId w:val="43"/>
  </w:num>
  <w:num w:numId="79">
    <w:abstractNumId w:val="30"/>
  </w:num>
  <w:num w:numId="80">
    <w:abstractNumId w:val="8"/>
  </w:num>
  <w:num w:numId="81">
    <w:abstractNumId w:val="64"/>
  </w:num>
  <w:num w:numId="82">
    <w:abstractNumId w:val="105"/>
  </w:num>
  <w:num w:numId="83">
    <w:abstractNumId w:val="76"/>
  </w:num>
  <w:num w:numId="84">
    <w:abstractNumId w:val="14"/>
  </w:num>
  <w:num w:numId="85">
    <w:abstractNumId w:val="153"/>
  </w:num>
  <w:num w:numId="86">
    <w:abstractNumId w:val="106"/>
  </w:num>
  <w:num w:numId="87">
    <w:abstractNumId w:val="74"/>
  </w:num>
  <w:num w:numId="88">
    <w:abstractNumId w:val="166"/>
  </w:num>
  <w:num w:numId="89">
    <w:abstractNumId w:val="114"/>
  </w:num>
  <w:num w:numId="90">
    <w:abstractNumId w:val="89"/>
  </w:num>
  <w:num w:numId="91">
    <w:abstractNumId w:val="137"/>
  </w:num>
  <w:num w:numId="92">
    <w:abstractNumId w:val="13"/>
  </w:num>
  <w:num w:numId="93">
    <w:abstractNumId w:val="50"/>
  </w:num>
  <w:num w:numId="94">
    <w:abstractNumId w:val="48"/>
  </w:num>
  <w:num w:numId="95">
    <w:abstractNumId w:val="143"/>
  </w:num>
  <w:num w:numId="96">
    <w:abstractNumId w:val="139"/>
  </w:num>
  <w:num w:numId="97">
    <w:abstractNumId w:val="19"/>
  </w:num>
  <w:num w:numId="98">
    <w:abstractNumId w:val="134"/>
  </w:num>
  <w:num w:numId="99">
    <w:abstractNumId w:val="83"/>
  </w:num>
  <w:num w:numId="100">
    <w:abstractNumId w:val="88"/>
    <w:lvlOverride w:ilvl="0">
      <w:lvl w:ilvl="0">
        <w:start w:val="1"/>
        <w:numFmt w:val="none"/>
        <w:lvlText w:val="2.3"/>
        <w:lvlJc w:val="left"/>
        <w:pPr>
          <w:ind w:left="360" w:hanging="360"/>
        </w:pPr>
        <w:rPr>
          <w:rFonts w:hint="default"/>
          <w:b w:val="0"/>
          <w:i w:val="0"/>
          <w:color w:val="auto"/>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1">
    <w:abstractNumId w:val="147"/>
  </w:num>
  <w:num w:numId="102">
    <w:abstractNumId w:val="116"/>
  </w:num>
  <w:num w:numId="103">
    <w:abstractNumId w:val="9"/>
  </w:num>
  <w:num w:numId="104">
    <w:abstractNumId w:val="69"/>
  </w:num>
  <w:num w:numId="105">
    <w:abstractNumId w:val="138"/>
  </w:num>
  <w:num w:numId="106">
    <w:abstractNumId w:val="90"/>
  </w:num>
  <w:num w:numId="107">
    <w:abstractNumId w:val="42"/>
  </w:num>
  <w:num w:numId="108">
    <w:abstractNumId w:val="44"/>
  </w:num>
  <w:num w:numId="109">
    <w:abstractNumId w:val="107"/>
  </w:num>
  <w:num w:numId="110">
    <w:abstractNumId w:val="156"/>
  </w:num>
  <w:num w:numId="111">
    <w:abstractNumId w:val="60"/>
  </w:num>
  <w:num w:numId="112">
    <w:abstractNumId w:val="27"/>
  </w:num>
  <w:num w:numId="113">
    <w:abstractNumId w:val="122"/>
  </w:num>
  <w:num w:numId="114">
    <w:abstractNumId w:val="98"/>
  </w:num>
  <w:num w:numId="115">
    <w:abstractNumId w:val="103"/>
  </w:num>
  <w:num w:numId="116">
    <w:abstractNumId w:val="108"/>
  </w:num>
  <w:num w:numId="117">
    <w:abstractNumId w:val="110"/>
  </w:num>
  <w:num w:numId="118">
    <w:abstractNumId w:val="100"/>
  </w:num>
  <w:num w:numId="119">
    <w:abstractNumId w:val="95"/>
  </w:num>
  <w:num w:numId="120">
    <w:abstractNumId w:val="92"/>
  </w:num>
  <w:num w:numId="121">
    <w:abstractNumId w:val="157"/>
  </w:num>
  <w:num w:numId="122">
    <w:abstractNumId w:val="10"/>
  </w:num>
  <w:num w:numId="123">
    <w:abstractNumId w:val="132"/>
  </w:num>
  <w:num w:numId="124">
    <w:abstractNumId w:val="65"/>
  </w:num>
  <w:num w:numId="125">
    <w:abstractNumId w:val="28"/>
  </w:num>
  <w:num w:numId="126">
    <w:abstractNumId w:val="66"/>
  </w:num>
  <w:num w:numId="127">
    <w:abstractNumId w:val="94"/>
  </w:num>
  <w:num w:numId="128">
    <w:abstractNumId w:val="58"/>
  </w:num>
  <w:num w:numId="129">
    <w:abstractNumId w:val="46"/>
  </w:num>
  <w:num w:numId="130">
    <w:abstractNumId w:val="113"/>
  </w:num>
  <w:num w:numId="131">
    <w:abstractNumId w:val="109"/>
  </w:num>
  <w:num w:numId="132">
    <w:abstractNumId w:val="70"/>
  </w:num>
  <w:num w:numId="133">
    <w:abstractNumId w:val="54"/>
  </w:num>
  <w:num w:numId="134">
    <w:abstractNumId w:val="41"/>
  </w:num>
  <w:num w:numId="135">
    <w:abstractNumId w:val="29"/>
  </w:num>
  <w:num w:numId="136">
    <w:abstractNumId w:val="123"/>
  </w:num>
  <w:num w:numId="137">
    <w:abstractNumId w:val="82"/>
  </w:num>
  <w:num w:numId="138">
    <w:abstractNumId w:val="158"/>
  </w:num>
  <w:num w:numId="139">
    <w:abstractNumId w:val="141"/>
  </w:num>
  <w:num w:numId="140">
    <w:abstractNumId w:val="78"/>
  </w:num>
  <w:num w:numId="141">
    <w:abstractNumId w:val="126"/>
  </w:num>
  <w:num w:numId="142">
    <w:abstractNumId w:val="16"/>
  </w:num>
  <w:num w:numId="143">
    <w:abstractNumId w:val="121"/>
  </w:num>
  <w:num w:numId="144">
    <w:abstractNumId w:val="104"/>
  </w:num>
  <w:num w:numId="145">
    <w:abstractNumId w:val="102"/>
  </w:num>
  <w:num w:numId="146">
    <w:abstractNumId w:val="144"/>
  </w:num>
  <w:num w:numId="147">
    <w:abstractNumId w:val="18"/>
  </w:num>
  <w:num w:numId="148">
    <w:abstractNumId w:val="168"/>
  </w:num>
  <w:num w:numId="149">
    <w:abstractNumId w:val="52"/>
  </w:num>
  <w:num w:numId="150">
    <w:abstractNumId w:val="62"/>
  </w:num>
  <w:num w:numId="151">
    <w:abstractNumId w:val="26"/>
  </w:num>
  <w:num w:numId="152">
    <w:abstractNumId w:val="87"/>
  </w:num>
  <w:num w:numId="153">
    <w:abstractNumId w:val="148"/>
  </w:num>
  <w:num w:numId="154">
    <w:abstractNumId w:val="145"/>
  </w:num>
  <w:num w:numId="155">
    <w:abstractNumId w:val="145"/>
  </w:num>
  <w:num w:numId="156">
    <w:abstractNumId w:val="84"/>
  </w:num>
  <w:num w:numId="157">
    <w:abstractNumId w:val="155"/>
  </w:num>
  <w:num w:numId="158">
    <w:abstractNumId w:val="53"/>
  </w:num>
  <w:num w:numId="159">
    <w:abstractNumId w:val="115"/>
  </w:num>
  <w:num w:numId="160">
    <w:abstractNumId w:val="38"/>
  </w:num>
  <w:num w:numId="161">
    <w:abstractNumId w:val="5"/>
  </w:num>
  <w:num w:numId="162">
    <w:abstractNumId w:val="142"/>
  </w:num>
  <w:num w:numId="163">
    <w:abstractNumId w:val="133"/>
  </w:num>
  <w:num w:numId="164">
    <w:abstractNumId w:val="169"/>
  </w:num>
  <w:num w:numId="165">
    <w:abstractNumId w:val="136"/>
  </w:num>
  <w:num w:numId="166">
    <w:abstractNumId w:val="15"/>
  </w:num>
  <w:num w:numId="167">
    <w:abstractNumId w:val="86"/>
  </w:num>
  <w:num w:numId="168">
    <w:abstractNumId w:val="49"/>
  </w:num>
  <w:num w:numId="169">
    <w:abstractNumId w:val="118"/>
  </w:num>
  <w:num w:numId="170">
    <w:abstractNumId w:val="159"/>
  </w:num>
  <w:num w:numId="171">
    <w:abstractNumId w:val="37"/>
  </w:num>
  <w:num w:numId="172">
    <w:abstractNumId w:val="167"/>
  </w:num>
  <w:num w:numId="173">
    <w:abstractNumId w:val="79"/>
  </w:num>
  <w:num w:numId="174">
    <w:abstractNumId w:val="59"/>
  </w:num>
  <w:num w:numId="175">
    <w:abstractNumId w:val="34"/>
  </w:num>
  <w:num w:numId="176">
    <w:abstractNumId w:val="125"/>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1/06/2019 12:31"/>
  </w:docVars>
  <w:rsids>
    <w:rsidRoot w:val="00526EE2"/>
    <w:rsid w:val="000002DA"/>
    <w:rsid w:val="000008F4"/>
    <w:rsid w:val="00000FF6"/>
    <w:rsid w:val="000010B5"/>
    <w:rsid w:val="0000141B"/>
    <w:rsid w:val="00001ABA"/>
    <w:rsid w:val="00002AA3"/>
    <w:rsid w:val="00003093"/>
    <w:rsid w:val="000038A5"/>
    <w:rsid w:val="00004BC9"/>
    <w:rsid w:val="0000684D"/>
    <w:rsid w:val="00006FD9"/>
    <w:rsid w:val="000112E9"/>
    <w:rsid w:val="00012ED8"/>
    <w:rsid w:val="00013073"/>
    <w:rsid w:val="000153C8"/>
    <w:rsid w:val="00017249"/>
    <w:rsid w:val="00017A92"/>
    <w:rsid w:val="00020F92"/>
    <w:rsid w:val="00022BDA"/>
    <w:rsid w:val="000237FC"/>
    <w:rsid w:val="00024F4E"/>
    <w:rsid w:val="000257ED"/>
    <w:rsid w:val="00026452"/>
    <w:rsid w:val="00026D3E"/>
    <w:rsid w:val="00027113"/>
    <w:rsid w:val="0003024F"/>
    <w:rsid w:val="000307A3"/>
    <w:rsid w:val="0003167F"/>
    <w:rsid w:val="0003265C"/>
    <w:rsid w:val="00033CFC"/>
    <w:rsid w:val="000350AF"/>
    <w:rsid w:val="000352B8"/>
    <w:rsid w:val="000353AE"/>
    <w:rsid w:val="00036C6D"/>
    <w:rsid w:val="00042183"/>
    <w:rsid w:val="00043258"/>
    <w:rsid w:val="00043304"/>
    <w:rsid w:val="00044093"/>
    <w:rsid w:val="000445C5"/>
    <w:rsid w:val="00045814"/>
    <w:rsid w:val="00046CB3"/>
    <w:rsid w:val="00047583"/>
    <w:rsid w:val="0005160B"/>
    <w:rsid w:val="000522EE"/>
    <w:rsid w:val="00053A5F"/>
    <w:rsid w:val="00056485"/>
    <w:rsid w:val="00056858"/>
    <w:rsid w:val="00056861"/>
    <w:rsid w:val="00057745"/>
    <w:rsid w:val="00057C6B"/>
    <w:rsid w:val="00060742"/>
    <w:rsid w:val="00060EB4"/>
    <w:rsid w:val="0006114A"/>
    <w:rsid w:val="00063522"/>
    <w:rsid w:val="000648BE"/>
    <w:rsid w:val="00071D0A"/>
    <w:rsid w:val="000741D7"/>
    <w:rsid w:val="00074EF4"/>
    <w:rsid w:val="00077DD9"/>
    <w:rsid w:val="000808DA"/>
    <w:rsid w:val="00080DD8"/>
    <w:rsid w:val="00081074"/>
    <w:rsid w:val="000825E9"/>
    <w:rsid w:val="0008561D"/>
    <w:rsid w:val="00090693"/>
    <w:rsid w:val="00090997"/>
    <w:rsid w:val="00090DAA"/>
    <w:rsid w:val="00090E7F"/>
    <w:rsid w:val="00093680"/>
    <w:rsid w:val="0009372D"/>
    <w:rsid w:val="000940C6"/>
    <w:rsid w:val="00095151"/>
    <w:rsid w:val="00095868"/>
    <w:rsid w:val="00096E6D"/>
    <w:rsid w:val="000A0887"/>
    <w:rsid w:val="000A0EEB"/>
    <w:rsid w:val="000A16B9"/>
    <w:rsid w:val="000A3323"/>
    <w:rsid w:val="000A3C7F"/>
    <w:rsid w:val="000A462C"/>
    <w:rsid w:val="000A4667"/>
    <w:rsid w:val="000A4ED8"/>
    <w:rsid w:val="000A55D4"/>
    <w:rsid w:val="000A566F"/>
    <w:rsid w:val="000A5F91"/>
    <w:rsid w:val="000A65B6"/>
    <w:rsid w:val="000A75D7"/>
    <w:rsid w:val="000A78FF"/>
    <w:rsid w:val="000A7AB7"/>
    <w:rsid w:val="000A7FAD"/>
    <w:rsid w:val="000B22F1"/>
    <w:rsid w:val="000B3A3B"/>
    <w:rsid w:val="000B4101"/>
    <w:rsid w:val="000B5362"/>
    <w:rsid w:val="000B55EA"/>
    <w:rsid w:val="000B6FE9"/>
    <w:rsid w:val="000B7EC2"/>
    <w:rsid w:val="000C1D45"/>
    <w:rsid w:val="000C2294"/>
    <w:rsid w:val="000C3173"/>
    <w:rsid w:val="000C38F2"/>
    <w:rsid w:val="000C3AEE"/>
    <w:rsid w:val="000C4436"/>
    <w:rsid w:val="000C52E1"/>
    <w:rsid w:val="000C6096"/>
    <w:rsid w:val="000C64AA"/>
    <w:rsid w:val="000C7108"/>
    <w:rsid w:val="000D1AA2"/>
    <w:rsid w:val="000D31B5"/>
    <w:rsid w:val="000D51A7"/>
    <w:rsid w:val="000D5EBC"/>
    <w:rsid w:val="000D6B68"/>
    <w:rsid w:val="000D6F19"/>
    <w:rsid w:val="000D6F28"/>
    <w:rsid w:val="000D7D4F"/>
    <w:rsid w:val="000E035E"/>
    <w:rsid w:val="000E1341"/>
    <w:rsid w:val="000E1513"/>
    <w:rsid w:val="000E15CC"/>
    <w:rsid w:val="000E3A65"/>
    <w:rsid w:val="000E3C24"/>
    <w:rsid w:val="000E45E8"/>
    <w:rsid w:val="000E7769"/>
    <w:rsid w:val="000E78A5"/>
    <w:rsid w:val="000F0C4F"/>
    <w:rsid w:val="000F1237"/>
    <w:rsid w:val="000F2FC9"/>
    <w:rsid w:val="000F40E5"/>
    <w:rsid w:val="000F42FA"/>
    <w:rsid w:val="000F6B16"/>
    <w:rsid w:val="00101476"/>
    <w:rsid w:val="001027DE"/>
    <w:rsid w:val="00104B8B"/>
    <w:rsid w:val="001053F7"/>
    <w:rsid w:val="00105E91"/>
    <w:rsid w:val="00106A79"/>
    <w:rsid w:val="00107CB3"/>
    <w:rsid w:val="00110827"/>
    <w:rsid w:val="001111A8"/>
    <w:rsid w:val="00111319"/>
    <w:rsid w:val="001128C9"/>
    <w:rsid w:val="00112F21"/>
    <w:rsid w:val="00113B2D"/>
    <w:rsid w:val="00114B5A"/>
    <w:rsid w:val="00116D97"/>
    <w:rsid w:val="00120303"/>
    <w:rsid w:val="001208AC"/>
    <w:rsid w:val="00120AB1"/>
    <w:rsid w:val="0012155F"/>
    <w:rsid w:val="001215AE"/>
    <w:rsid w:val="0012323C"/>
    <w:rsid w:val="00123F5C"/>
    <w:rsid w:val="0012492C"/>
    <w:rsid w:val="00125502"/>
    <w:rsid w:val="00126FCA"/>
    <w:rsid w:val="00131A34"/>
    <w:rsid w:val="00132213"/>
    <w:rsid w:val="001324E8"/>
    <w:rsid w:val="00132996"/>
    <w:rsid w:val="00133444"/>
    <w:rsid w:val="00133757"/>
    <w:rsid w:val="00133859"/>
    <w:rsid w:val="001340CC"/>
    <w:rsid w:val="0013554B"/>
    <w:rsid w:val="00135E2A"/>
    <w:rsid w:val="00136B6A"/>
    <w:rsid w:val="00142267"/>
    <w:rsid w:val="0014345B"/>
    <w:rsid w:val="00143F7B"/>
    <w:rsid w:val="00145C62"/>
    <w:rsid w:val="0014770C"/>
    <w:rsid w:val="00151AAB"/>
    <w:rsid w:val="001538E9"/>
    <w:rsid w:val="001544A7"/>
    <w:rsid w:val="00154C20"/>
    <w:rsid w:val="00155E0A"/>
    <w:rsid w:val="00157BE9"/>
    <w:rsid w:val="00157D29"/>
    <w:rsid w:val="0016225A"/>
    <w:rsid w:val="00163843"/>
    <w:rsid w:val="00163F16"/>
    <w:rsid w:val="00164199"/>
    <w:rsid w:val="0016437B"/>
    <w:rsid w:val="00164A8C"/>
    <w:rsid w:val="0016633C"/>
    <w:rsid w:val="0017012B"/>
    <w:rsid w:val="00173E03"/>
    <w:rsid w:val="00174C7C"/>
    <w:rsid w:val="0017736A"/>
    <w:rsid w:val="001778C8"/>
    <w:rsid w:val="00177A93"/>
    <w:rsid w:val="001822D7"/>
    <w:rsid w:val="00183637"/>
    <w:rsid w:val="0018699E"/>
    <w:rsid w:val="0018797C"/>
    <w:rsid w:val="00190254"/>
    <w:rsid w:val="00190271"/>
    <w:rsid w:val="001916C3"/>
    <w:rsid w:val="001938C1"/>
    <w:rsid w:val="001940FF"/>
    <w:rsid w:val="00194B89"/>
    <w:rsid w:val="00194D62"/>
    <w:rsid w:val="0019512E"/>
    <w:rsid w:val="001958B8"/>
    <w:rsid w:val="00195F68"/>
    <w:rsid w:val="001964C4"/>
    <w:rsid w:val="001A07CC"/>
    <w:rsid w:val="001A28B6"/>
    <w:rsid w:val="001A42D0"/>
    <w:rsid w:val="001A4A5E"/>
    <w:rsid w:val="001A4C45"/>
    <w:rsid w:val="001A5077"/>
    <w:rsid w:val="001A5993"/>
    <w:rsid w:val="001A5BE9"/>
    <w:rsid w:val="001A6C9E"/>
    <w:rsid w:val="001A78E7"/>
    <w:rsid w:val="001A7F5C"/>
    <w:rsid w:val="001B0B8B"/>
    <w:rsid w:val="001B36FA"/>
    <w:rsid w:val="001B4C3D"/>
    <w:rsid w:val="001B5A84"/>
    <w:rsid w:val="001B6E3A"/>
    <w:rsid w:val="001C0F13"/>
    <w:rsid w:val="001C1D1B"/>
    <w:rsid w:val="001C28BA"/>
    <w:rsid w:val="001C6370"/>
    <w:rsid w:val="001C7923"/>
    <w:rsid w:val="001D0518"/>
    <w:rsid w:val="001D2058"/>
    <w:rsid w:val="001D29DA"/>
    <w:rsid w:val="001D316B"/>
    <w:rsid w:val="001D3A65"/>
    <w:rsid w:val="001D452E"/>
    <w:rsid w:val="001D5FA0"/>
    <w:rsid w:val="001D70ED"/>
    <w:rsid w:val="001D79C4"/>
    <w:rsid w:val="001D7D3A"/>
    <w:rsid w:val="001E0D1B"/>
    <w:rsid w:val="001E17D8"/>
    <w:rsid w:val="001E1F78"/>
    <w:rsid w:val="001E20C5"/>
    <w:rsid w:val="001E4FF5"/>
    <w:rsid w:val="001E591D"/>
    <w:rsid w:val="001E5EA0"/>
    <w:rsid w:val="001E679E"/>
    <w:rsid w:val="001E7ED9"/>
    <w:rsid w:val="001F0962"/>
    <w:rsid w:val="001F140A"/>
    <w:rsid w:val="001F1F6F"/>
    <w:rsid w:val="001F4049"/>
    <w:rsid w:val="001F4173"/>
    <w:rsid w:val="001F5AA2"/>
    <w:rsid w:val="001F5C99"/>
    <w:rsid w:val="001F67BC"/>
    <w:rsid w:val="002001E0"/>
    <w:rsid w:val="00200FA9"/>
    <w:rsid w:val="00201204"/>
    <w:rsid w:val="0020529D"/>
    <w:rsid w:val="002057F8"/>
    <w:rsid w:val="00210C83"/>
    <w:rsid w:val="00213C55"/>
    <w:rsid w:val="00213C8B"/>
    <w:rsid w:val="00214271"/>
    <w:rsid w:val="002148A3"/>
    <w:rsid w:val="00217AE4"/>
    <w:rsid w:val="002204CD"/>
    <w:rsid w:val="00220B2B"/>
    <w:rsid w:val="00221182"/>
    <w:rsid w:val="002220B0"/>
    <w:rsid w:val="00222B56"/>
    <w:rsid w:val="00223EBF"/>
    <w:rsid w:val="00224420"/>
    <w:rsid w:val="00225525"/>
    <w:rsid w:val="002266F5"/>
    <w:rsid w:val="00227BB2"/>
    <w:rsid w:val="00231797"/>
    <w:rsid w:val="002318E3"/>
    <w:rsid w:val="0023213A"/>
    <w:rsid w:val="00235A7E"/>
    <w:rsid w:val="002409AA"/>
    <w:rsid w:val="00240F7C"/>
    <w:rsid w:val="0024655E"/>
    <w:rsid w:val="0025029B"/>
    <w:rsid w:val="002502CA"/>
    <w:rsid w:val="00250D22"/>
    <w:rsid w:val="002513D0"/>
    <w:rsid w:val="00251CE7"/>
    <w:rsid w:val="00252320"/>
    <w:rsid w:val="0025407C"/>
    <w:rsid w:val="00254797"/>
    <w:rsid w:val="00254A01"/>
    <w:rsid w:val="00256AFB"/>
    <w:rsid w:val="00261344"/>
    <w:rsid w:val="00261BD7"/>
    <w:rsid w:val="002637EC"/>
    <w:rsid w:val="002639B2"/>
    <w:rsid w:val="00263E3B"/>
    <w:rsid w:val="0026578D"/>
    <w:rsid w:val="00265F34"/>
    <w:rsid w:val="002672EA"/>
    <w:rsid w:val="0027099B"/>
    <w:rsid w:val="00270E9F"/>
    <w:rsid w:val="00271D91"/>
    <w:rsid w:val="00271FF4"/>
    <w:rsid w:val="00272B3E"/>
    <w:rsid w:val="00273D3A"/>
    <w:rsid w:val="0027550B"/>
    <w:rsid w:val="00276194"/>
    <w:rsid w:val="00276D51"/>
    <w:rsid w:val="00277222"/>
    <w:rsid w:val="00280E06"/>
    <w:rsid w:val="00281849"/>
    <w:rsid w:val="00281BE6"/>
    <w:rsid w:val="00281C8C"/>
    <w:rsid w:val="00281EA0"/>
    <w:rsid w:val="00282F92"/>
    <w:rsid w:val="00284856"/>
    <w:rsid w:val="00286BB6"/>
    <w:rsid w:val="002876BF"/>
    <w:rsid w:val="002879B1"/>
    <w:rsid w:val="00290514"/>
    <w:rsid w:val="00290517"/>
    <w:rsid w:val="00291B51"/>
    <w:rsid w:val="00291F5B"/>
    <w:rsid w:val="00293285"/>
    <w:rsid w:val="00294252"/>
    <w:rsid w:val="0029460D"/>
    <w:rsid w:val="00295D24"/>
    <w:rsid w:val="002A0619"/>
    <w:rsid w:val="002A0969"/>
    <w:rsid w:val="002A4136"/>
    <w:rsid w:val="002A42A3"/>
    <w:rsid w:val="002A478D"/>
    <w:rsid w:val="002A50EE"/>
    <w:rsid w:val="002A5817"/>
    <w:rsid w:val="002B2BAE"/>
    <w:rsid w:val="002B4540"/>
    <w:rsid w:val="002B5823"/>
    <w:rsid w:val="002B6778"/>
    <w:rsid w:val="002B6E9E"/>
    <w:rsid w:val="002B77CF"/>
    <w:rsid w:val="002B7804"/>
    <w:rsid w:val="002C0C72"/>
    <w:rsid w:val="002C1506"/>
    <w:rsid w:val="002C1B1F"/>
    <w:rsid w:val="002C3341"/>
    <w:rsid w:val="002C483C"/>
    <w:rsid w:val="002D0F71"/>
    <w:rsid w:val="002D1742"/>
    <w:rsid w:val="002D1EE4"/>
    <w:rsid w:val="002D227C"/>
    <w:rsid w:val="002D48CE"/>
    <w:rsid w:val="002D5E06"/>
    <w:rsid w:val="002D713C"/>
    <w:rsid w:val="002E06B3"/>
    <w:rsid w:val="002E0C00"/>
    <w:rsid w:val="002E306F"/>
    <w:rsid w:val="002E3530"/>
    <w:rsid w:val="002E3A0E"/>
    <w:rsid w:val="002E5342"/>
    <w:rsid w:val="002E558D"/>
    <w:rsid w:val="002E5885"/>
    <w:rsid w:val="002E5F2B"/>
    <w:rsid w:val="002E65C0"/>
    <w:rsid w:val="002E6DBC"/>
    <w:rsid w:val="002E6EBA"/>
    <w:rsid w:val="002E7588"/>
    <w:rsid w:val="002E7B20"/>
    <w:rsid w:val="002F0563"/>
    <w:rsid w:val="002F1506"/>
    <w:rsid w:val="002F1743"/>
    <w:rsid w:val="002F1E24"/>
    <w:rsid w:val="002F2E97"/>
    <w:rsid w:val="002F2ECB"/>
    <w:rsid w:val="002F3277"/>
    <w:rsid w:val="002F3525"/>
    <w:rsid w:val="002F3901"/>
    <w:rsid w:val="002F4B97"/>
    <w:rsid w:val="002F651B"/>
    <w:rsid w:val="002F66C1"/>
    <w:rsid w:val="002F6A2F"/>
    <w:rsid w:val="002F6C60"/>
    <w:rsid w:val="002F6F78"/>
    <w:rsid w:val="0030092E"/>
    <w:rsid w:val="00301AA9"/>
    <w:rsid w:val="00301B8E"/>
    <w:rsid w:val="00301DE4"/>
    <w:rsid w:val="00303496"/>
    <w:rsid w:val="003035AC"/>
    <w:rsid w:val="00303617"/>
    <w:rsid w:val="0030486F"/>
    <w:rsid w:val="00306E33"/>
    <w:rsid w:val="00310314"/>
    <w:rsid w:val="00313428"/>
    <w:rsid w:val="00313471"/>
    <w:rsid w:val="0031389C"/>
    <w:rsid w:val="003144B6"/>
    <w:rsid w:val="00314665"/>
    <w:rsid w:val="003176E9"/>
    <w:rsid w:val="003200A4"/>
    <w:rsid w:val="0032045E"/>
    <w:rsid w:val="003230D9"/>
    <w:rsid w:val="003247CA"/>
    <w:rsid w:val="00324AA0"/>
    <w:rsid w:val="0032542E"/>
    <w:rsid w:val="00326E02"/>
    <w:rsid w:val="00327537"/>
    <w:rsid w:val="003278D3"/>
    <w:rsid w:val="003278F9"/>
    <w:rsid w:val="00330A34"/>
    <w:rsid w:val="00331DF1"/>
    <w:rsid w:val="003321BD"/>
    <w:rsid w:val="00332480"/>
    <w:rsid w:val="00333CC8"/>
    <w:rsid w:val="003351A5"/>
    <w:rsid w:val="00340C65"/>
    <w:rsid w:val="0034104A"/>
    <w:rsid w:val="00341494"/>
    <w:rsid w:val="00342FA2"/>
    <w:rsid w:val="00345BE4"/>
    <w:rsid w:val="003471D2"/>
    <w:rsid w:val="00350680"/>
    <w:rsid w:val="00350856"/>
    <w:rsid w:val="00351536"/>
    <w:rsid w:val="0035171D"/>
    <w:rsid w:val="00351768"/>
    <w:rsid w:val="003518F0"/>
    <w:rsid w:val="00352E36"/>
    <w:rsid w:val="00354E04"/>
    <w:rsid w:val="00355109"/>
    <w:rsid w:val="00355BDD"/>
    <w:rsid w:val="0035708F"/>
    <w:rsid w:val="00357354"/>
    <w:rsid w:val="0036097D"/>
    <w:rsid w:val="003616A2"/>
    <w:rsid w:val="0036387E"/>
    <w:rsid w:val="00363F33"/>
    <w:rsid w:val="003642AC"/>
    <w:rsid w:val="00364CF9"/>
    <w:rsid w:val="0036556C"/>
    <w:rsid w:val="00366BF1"/>
    <w:rsid w:val="00366F5A"/>
    <w:rsid w:val="00370117"/>
    <w:rsid w:val="003718A4"/>
    <w:rsid w:val="0037294A"/>
    <w:rsid w:val="00372A6B"/>
    <w:rsid w:val="00372DE6"/>
    <w:rsid w:val="00374CD9"/>
    <w:rsid w:val="003752D4"/>
    <w:rsid w:val="00376E10"/>
    <w:rsid w:val="0038078F"/>
    <w:rsid w:val="003812C7"/>
    <w:rsid w:val="003820F8"/>
    <w:rsid w:val="003824C4"/>
    <w:rsid w:val="00382E00"/>
    <w:rsid w:val="00383AF0"/>
    <w:rsid w:val="00384216"/>
    <w:rsid w:val="00384225"/>
    <w:rsid w:val="00384B2E"/>
    <w:rsid w:val="003851F6"/>
    <w:rsid w:val="00385668"/>
    <w:rsid w:val="00385C77"/>
    <w:rsid w:val="0038627D"/>
    <w:rsid w:val="003906AD"/>
    <w:rsid w:val="003912E0"/>
    <w:rsid w:val="00392365"/>
    <w:rsid w:val="003924D0"/>
    <w:rsid w:val="00392A23"/>
    <w:rsid w:val="00394079"/>
    <w:rsid w:val="00395298"/>
    <w:rsid w:val="00397DA9"/>
    <w:rsid w:val="003A0128"/>
    <w:rsid w:val="003A178A"/>
    <w:rsid w:val="003A1920"/>
    <w:rsid w:val="003A3CD5"/>
    <w:rsid w:val="003A413A"/>
    <w:rsid w:val="003A4BD3"/>
    <w:rsid w:val="003A4D3C"/>
    <w:rsid w:val="003A5F7D"/>
    <w:rsid w:val="003A64B1"/>
    <w:rsid w:val="003A64EC"/>
    <w:rsid w:val="003B0A3C"/>
    <w:rsid w:val="003B0CAB"/>
    <w:rsid w:val="003B1AE4"/>
    <w:rsid w:val="003B2464"/>
    <w:rsid w:val="003B3607"/>
    <w:rsid w:val="003B4BF1"/>
    <w:rsid w:val="003B50C7"/>
    <w:rsid w:val="003B516F"/>
    <w:rsid w:val="003B6062"/>
    <w:rsid w:val="003B6CBF"/>
    <w:rsid w:val="003C0457"/>
    <w:rsid w:val="003C0A26"/>
    <w:rsid w:val="003C2BED"/>
    <w:rsid w:val="003C2F5B"/>
    <w:rsid w:val="003C30A6"/>
    <w:rsid w:val="003C421C"/>
    <w:rsid w:val="003C49D6"/>
    <w:rsid w:val="003C4AA6"/>
    <w:rsid w:val="003C6D61"/>
    <w:rsid w:val="003D06F6"/>
    <w:rsid w:val="003D1C85"/>
    <w:rsid w:val="003D21A4"/>
    <w:rsid w:val="003D2716"/>
    <w:rsid w:val="003D307F"/>
    <w:rsid w:val="003D3EEF"/>
    <w:rsid w:val="003D524D"/>
    <w:rsid w:val="003D5FFB"/>
    <w:rsid w:val="003D76D5"/>
    <w:rsid w:val="003E02E1"/>
    <w:rsid w:val="003E291C"/>
    <w:rsid w:val="003E2F59"/>
    <w:rsid w:val="003E3563"/>
    <w:rsid w:val="003E3685"/>
    <w:rsid w:val="003E4105"/>
    <w:rsid w:val="003E4467"/>
    <w:rsid w:val="003E4EAD"/>
    <w:rsid w:val="003E505F"/>
    <w:rsid w:val="003E52F0"/>
    <w:rsid w:val="003E64D3"/>
    <w:rsid w:val="003E748C"/>
    <w:rsid w:val="003E766C"/>
    <w:rsid w:val="003E7B5C"/>
    <w:rsid w:val="003F03FF"/>
    <w:rsid w:val="003F0534"/>
    <w:rsid w:val="003F060A"/>
    <w:rsid w:val="003F0D6F"/>
    <w:rsid w:val="003F171B"/>
    <w:rsid w:val="003F2896"/>
    <w:rsid w:val="003F30EF"/>
    <w:rsid w:val="003F329A"/>
    <w:rsid w:val="003F5C5C"/>
    <w:rsid w:val="003F74D4"/>
    <w:rsid w:val="003F798E"/>
    <w:rsid w:val="003F7DBD"/>
    <w:rsid w:val="00400300"/>
    <w:rsid w:val="00400883"/>
    <w:rsid w:val="00400E9E"/>
    <w:rsid w:val="004013AF"/>
    <w:rsid w:val="00401629"/>
    <w:rsid w:val="004016BD"/>
    <w:rsid w:val="00401C31"/>
    <w:rsid w:val="00404180"/>
    <w:rsid w:val="00405842"/>
    <w:rsid w:val="0040636C"/>
    <w:rsid w:val="0040645D"/>
    <w:rsid w:val="00406507"/>
    <w:rsid w:val="00406AC9"/>
    <w:rsid w:val="00410C9C"/>
    <w:rsid w:val="00410CB1"/>
    <w:rsid w:val="00411DA0"/>
    <w:rsid w:val="00413229"/>
    <w:rsid w:val="00413874"/>
    <w:rsid w:val="00413A62"/>
    <w:rsid w:val="00414EF6"/>
    <w:rsid w:val="00415BBF"/>
    <w:rsid w:val="004160E4"/>
    <w:rsid w:val="00417DD9"/>
    <w:rsid w:val="00420B0E"/>
    <w:rsid w:val="00422244"/>
    <w:rsid w:val="0042236B"/>
    <w:rsid w:val="0042269B"/>
    <w:rsid w:val="00423CFA"/>
    <w:rsid w:val="00424192"/>
    <w:rsid w:val="00424749"/>
    <w:rsid w:val="00424B37"/>
    <w:rsid w:val="00424D93"/>
    <w:rsid w:val="00425D53"/>
    <w:rsid w:val="00427567"/>
    <w:rsid w:val="0042758F"/>
    <w:rsid w:val="00427DB0"/>
    <w:rsid w:val="004309E9"/>
    <w:rsid w:val="00431B85"/>
    <w:rsid w:val="004324AE"/>
    <w:rsid w:val="00433311"/>
    <w:rsid w:val="00433F06"/>
    <w:rsid w:val="00434DC7"/>
    <w:rsid w:val="00434E56"/>
    <w:rsid w:val="00435DE3"/>
    <w:rsid w:val="00436EBA"/>
    <w:rsid w:val="00437005"/>
    <w:rsid w:val="00441C37"/>
    <w:rsid w:val="00442794"/>
    <w:rsid w:val="0044411A"/>
    <w:rsid w:val="00445A62"/>
    <w:rsid w:val="00445AED"/>
    <w:rsid w:val="004548AE"/>
    <w:rsid w:val="00456AA0"/>
    <w:rsid w:val="00457774"/>
    <w:rsid w:val="00461B55"/>
    <w:rsid w:val="0046210A"/>
    <w:rsid w:val="00463EA0"/>
    <w:rsid w:val="00463FE0"/>
    <w:rsid w:val="00464C08"/>
    <w:rsid w:val="00464EC7"/>
    <w:rsid w:val="00465D26"/>
    <w:rsid w:val="0046635D"/>
    <w:rsid w:val="00466562"/>
    <w:rsid w:val="0046663B"/>
    <w:rsid w:val="00466DF2"/>
    <w:rsid w:val="004672DD"/>
    <w:rsid w:val="0046757C"/>
    <w:rsid w:val="0047099C"/>
    <w:rsid w:val="00470E6E"/>
    <w:rsid w:val="00471282"/>
    <w:rsid w:val="004719EB"/>
    <w:rsid w:val="004721C0"/>
    <w:rsid w:val="00472B37"/>
    <w:rsid w:val="00473768"/>
    <w:rsid w:val="0047536D"/>
    <w:rsid w:val="00476930"/>
    <w:rsid w:val="0048119F"/>
    <w:rsid w:val="00482AD8"/>
    <w:rsid w:val="00483233"/>
    <w:rsid w:val="0048324A"/>
    <w:rsid w:val="00484862"/>
    <w:rsid w:val="00485D96"/>
    <w:rsid w:val="00486AA2"/>
    <w:rsid w:val="004879BF"/>
    <w:rsid w:val="0049382D"/>
    <w:rsid w:val="00494530"/>
    <w:rsid w:val="004945BB"/>
    <w:rsid w:val="00495A70"/>
    <w:rsid w:val="00495CEF"/>
    <w:rsid w:val="0049773A"/>
    <w:rsid w:val="004A099C"/>
    <w:rsid w:val="004A3883"/>
    <w:rsid w:val="004A4912"/>
    <w:rsid w:val="004A4A51"/>
    <w:rsid w:val="004A59F9"/>
    <w:rsid w:val="004A5CB0"/>
    <w:rsid w:val="004A6C1F"/>
    <w:rsid w:val="004A7A4D"/>
    <w:rsid w:val="004B0CCB"/>
    <w:rsid w:val="004B0EB2"/>
    <w:rsid w:val="004B2497"/>
    <w:rsid w:val="004B38FC"/>
    <w:rsid w:val="004B3993"/>
    <w:rsid w:val="004B5551"/>
    <w:rsid w:val="004B5C5B"/>
    <w:rsid w:val="004B5E4F"/>
    <w:rsid w:val="004B71E6"/>
    <w:rsid w:val="004B7D8A"/>
    <w:rsid w:val="004C1601"/>
    <w:rsid w:val="004C2A75"/>
    <w:rsid w:val="004C35F9"/>
    <w:rsid w:val="004C3A67"/>
    <w:rsid w:val="004C3FC6"/>
    <w:rsid w:val="004C4C89"/>
    <w:rsid w:val="004D00CB"/>
    <w:rsid w:val="004D0913"/>
    <w:rsid w:val="004D1205"/>
    <w:rsid w:val="004D1533"/>
    <w:rsid w:val="004D1AFF"/>
    <w:rsid w:val="004D630D"/>
    <w:rsid w:val="004E0E35"/>
    <w:rsid w:val="004E0F12"/>
    <w:rsid w:val="004E17F6"/>
    <w:rsid w:val="004E449B"/>
    <w:rsid w:val="004E474A"/>
    <w:rsid w:val="004E50D3"/>
    <w:rsid w:val="004E68E7"/>
    <w:rsid w:val="004E7384"/>
    <w:rsid w:val="004E78FC"/>
    <w:rsid w:val="004E7E05"/>
    <w:rsid w:val="004F03B1"/>
    <w:rsid w:val="004F08CB"/>
    <w:rsid w:val="004F1121"/>
    <w:rsid w:val="004F1D70"/>
    <w:rsid w:val="004F1EEF"/>
    <w:rsid w:val="004F2132"/>
    <w:rsid w:val="004F2366"/>
    <w:rsid w:val="004F2BA9"/>
    <w:rsid w:val="004F3A83"/>
    <w:rsid w:val="004F3B56"/>
    <w:rsid w:val="004F49C3"/>
    <w:rsid w:val="004F50CF"/>
    <w:rsid w:val="004F602A"/>
    <w:rsid w:val="004F6284"/>
    <w:rsid w:val="004F6CB6"/>
    <w:rsid w:val="004F6F88"/>
    <w:rsid w:val="004F70D2"/>
    <w:rsid w:val="004F7C92"/>
    <w:rsid w:val="00500CBA"/>
    <w:rsid w:val="005012FD"/>
    <w:rsid w:val="00503B8E"/>
    <w:rsid w:val="005057AF"/>
    <w:rsid w:val="00507B01"/>
    <w:rsid w:val="00510342"/>
    <w:rsid w:val="005103EA"/>
    <w:rsid w:val="005104A9"/>
    <w:rsid w:val="00510B89"/>
    <w:rsid w:val="00511C28"/>
    <w:rsid w:val="00512055"/>
    <w:rsid w:val="00512152"/>
    <w:rsid w:val="00512990"/>
    <w:rsid w:val="005131D9"/>
    <w:rsid w:val="00513B56"/>
    <w:rsid w:val="005141F8"/>
    <w:rsid w:val="005164C8"/>
    <w:rsid w:val="00521AF8"/>
    <w:rsid w:val="005243B9"/>
    <w:rsid w:val="00526EE2"/>
    <w:rsid w:val="005270FE"/>
    <w:rsid w:val="005277E9"/>
    <w:rsid w:val="00527CCA"/>
    <w:rsid w:val="00527EF4"/>
    <w:rsid w:val="0053114A"/>
    <w:rsid w:val="005314CD"/>
    <w:rsid w:val="0053204B"/>
    <w:rsid w:val="00533B68"/>
    <w:rsid w:val="005348DE"/>
    <w:rsid w:val="00534B4D"/>
    <w:rsid w:val="005372F9"/>
    <w:rsid w:val="00537418"/>
    <w:rsid w:val="00537D92"/>
    <w:rsid w:val="00542DE2"/>
    <w:rsid w:val="00543FC4"/>
    <w:rsid w:val="00546C58"/>
    <w:rsid w:val="0054741A"/>
    <w:rsid w:val="00547D1F"/>
    <w:rsid w:val="00550E38"/>
    <w:rsid w:val="0055149E"/>
    <w:rsid w:val="00551889"/>
    <w:rsid w:val="00551F6E"/>
    <w:rsid w:val="0055200B"/>
    <w:rsid w:val="005527E5"/>
    <w:rsid w:val="00554CAB"/>
    <w:rsid w:val="00554E58"/>
    <w:rsid w:val="00555C9A"/>
    <w:rsid w:val="00556042"/>
    <w:rsid w:val="0055657D"/>
    <w:rsid w:val="00556B17"/>
    <w:rsid w:val="00557DC8"/>
    <w:rsid w:val="00560F45"/>
    <w:rsid w:val="005661F9"/>
    <w:rsid w:val="00566D5B"/>
    <w:rsid w:val="00567503"/>
    <w:rsid w:val="00570686"/>
    <w:rsid w:val="00570E86"/>
    <w:rsid w:val="0057101C"/>
    <w:rsid w:val="0057184D"/>
    <w:rsid w:val="0057289F"/>
    <w:rsid w:val="00572CCA"/>
    <w:rsid w:val="00573C3E"/>
    <w:rsid w:val="00574196"/>
    <w:rsid w:val="005746D1"/>
    <w:rsid w:val="00574DAA"/>
    <w:rsid w:val="0057599D"/>
    <w:rsid w:val="00575BC4"/>
    <w:rsid w:val="00575DAB"/>
    <w:rsid w:val="005761F6"/>
    <w:rsid w:val="00576D43"/>
    <w:rsid w:val="00577124"/>
    <w:rsid w:val="00577BC7"/>
    <w:rsid w:val="00577C13"/>
    <w:rsid w:val="005819EB"/>
    <w:rsid w:val="005821AF"/>
    <w:rsid w:val="005829DC"/>
    <w:rsid w:val="00582F14"/>
    <w:rsid w:val="005846D7"/>
    <w:rsid w:val="00584CAD"/>
    <w:rsid w:val="005850A7"/>
    <w:rsid w:val="00585568"/>
    <w:rsid w:val="00586A10"/>
    <w:rsid w:val="00590DB7"/>
    <w:rsid w:val="00590F80"/>
    <w:rsid w:val="00591139"/>
    <w:rsid w:val="0059191B"/>
    <w:rsid w:val="00591C57"/>
    <w:rsid w:val="00591F00"/>
    <w:rsid w:val="00591F96"/>
    <w:rsid w:val="00591FA2"/>
    <w:rsid w:val="00592C5A"/>
    <w:rsid w:val="00592E64"/>
    <w:rsid w:val="005943C9"/>
    <w:rsid w:val="00594B14"/>
    <w:rsid w:val="00595D22"/>
    <w:rsid w:val="00596E6C"/>
    <w:rsid w:val="00597208"/>
    <w:rsid w:val="00597BE0"/>
    <w:rsid w:val="00597DB8"/>
    <w:rsid w:val="00597F30"/>
    <w:rsid w:val="005A11CB"/>
    <w:rsid w:val="005A206F"/>
    <w:rsid w:val="005A689F"/>
    <w:rsid w:val="005A68E9"/>
    <w:rsid w:val="005B1952"/>
    <w:rsid w:val="005B2123"/>
    <w:rsid w:val="005B2A0E"/>
    <w:rsid w:val="005B4944"/>
    <w:rsid w:val="005B4F2E"/>
    <w:rsid w:val="005B5586"/>
    <w:rsid w:val="005B6577"/>
    <w:rsid w:val="005B67AA"/>
    <w:rsid w:val="005B6FFD"/>
    <w:rsid w:val="005C0FFF"/>
    <w:rsid w:val="005C14AD"/>
    <w:rsid w:val="005C2630"/>
    <w:rsid w:val="005C27C6"/>
    <w:rsid w:val="005C2960"/>
    <w:rsid w:val="005C3109"/>
    <w:rsid w:val="005C310F"/>
    <w:rsid w:val="005C3494"/>
    <w:rsid w:val="005C4245"/>
    <w:rsid w:val="005C4C1A"/>
    <w:rsid w:val="005C5316"/>
    <w:rsid w:val="005C574E"/>
    <w:rsid w:val="005C7E13"/>
    <w:rsid w:val="005D0482"/>
    <w:rsid w:val="005D18C0"/>
    <w:rsid w:val="005D361D"/>
    <w:rsid w:val="005D396D"/>
    <w:rsid w:val="005D3EAD"/>
    <w:rsid w:val="005D44B6"/>
    <w:rsid w:val="005D4AE9"/>
    <w:rsid w:val="005D4BAF"/>
    <w:rsid w:val="005D4D09"/>
    <w:rsid w:val="005D5933"/>
    <w:rsid w:val="005D643E"/>
    <w:rsid w:val="005D6BCE"/>
    <w:rsid w:val="005D75A6"/>
    <w:rsid w:val="005D7BE0"/>
    <w:rsid w:val="005E0AB7"/>
    <w:rsid w:val="005E0F32"/>
    <w:rsid w:val="005E14A3"/>
    <w:rsid w:val="005E1743"/>
    <w:rsid w:val="005E184B"/>
    <w:rsid w:val="005E2179"/>
    <w:rsid w:val="005E2B35"/>
    <w:rsid w:val="005E38C6"/>
    <w:rsid w:val="005E473F"/>
    <w:rsid w:val="005E4FD3"/>
    <w:rsid w:val="005E6541"/>
    <w:rsid w:val="005E698E"/>
    <w:rsid w:val="005E6D1B"/>
    <w:rsid w:val="005F0332"/>
    <w:rsid w:val="005F0507"/>
    <w:rsid w:val="005F064C"/>
    <w:rsid w:val="005F0C42"/>
    <w:rsid w:val="005F331F"/>
    <w:rsid w:val="005F3444"/>
    <w:rsid w:val="005F62C7"/>
    <w:rsid w:val="005F7382"/>
    <w:rsid w:val="005F793C"/>
    <w:rsid w:val="005F7C93"/>
    <w:rsid w:val="0060037F"/>
    <w:rsid w:val="00601DA5"/>
    <w:rsid w:val="00602157"/>
    <w:rsid w:val="006022F9"/>
    <w:rsid w:val="00604653"/>
    <w:rsid w:val="0060492C"/>
    <w:rsid w:val="0060498D"/>
    <w:rsid w:val="0060598C"/>
    <w:rsid w:val="00605B23"/>
    <w:rsid w:val="00606C3F"/>
    <w:rsid w:val="00606D37"/>
    <w:rsid w:val="00607AED"/>
    <w:rsid w:val="006105DE"/>
    <w:rsid w:val="00614053"/>
    <w:rsid w:val="00614446"/>
    <w:rsid w:val="00615932"/>
    <w:rsid w:val="00615AE1"/>
    <w:rsid w:val="00615F24"/>
    <w:rsid w:val="006168C5"/>
    <w:rsid w:val="00617A16"/>
    <w:rsid w:val="00620444"/>
    <w:rsid w:val="00620496"/>
    <w:rsid w:val="00620A36"/>
    <w:rsid w:val="00621467"/>
    <w:rsid w:val="00622959"/>
    <w:rsid w:val="006235CE"/>
    <w:rsid w:val="006236ED"/>
    <w:rsid w:val="0062749B"/>
    <w:rsid w:val="006274C3"/>
    <w:rsid w:val="00627792"/>
    <w:rsid w:val="00627806"/>
    <w:rsid w:val="00627822"/>
    <w:rsid w:val="00627C0F"/>
    <w:rsid w:val="00630716"/>
    <w:rsid w:val="0063274B"/>
    <w:rsid w:val="006329A2"/>
    <w:rsid w:val="00633543"/>
    <w:rsid w:val="006336A4"/>
    <w:rsid w:val="0063402D"/>
    <w:rsid w:val="006343E8"/>
    <w:rsid w:val="00634AB5"/>
    <w:rsid w:val="00635102"/>
    <w:rsid w:val="00640F02"/>
    <w:rsid w:val="00641CE7"/>
    <w:rsid w:val="00642241"/>
    <w:rsid w:val="00643905"/>
    <w:rsid w:val="00643AC5"/>
    <w:rsid w:val="0064484E"/>
    <w:rsid w:val="00645E10"/>
    <w:rsid w:val="0064644B"/>
    <w:rsid w:val="00646C8B"/>
    <w:rsid w:val="00646DD6"/>
    <w:rsid w:val="00647BA6"/>
    <w:rsid w:val="00650283"/>
    <w:rsid w:val="006513BD"/>
    <w:rsid w:val="00651DC6"/>
    <w:rsid w:val="00652D9B"/>
    <w:rsid w:val="00652E84"/>
    <w:rsid w:val="00653047"/>
    <w:rsid w:val="006543F8"/>
    <w:rsid w:val="006554C2"/>
    <w:rsid w:val="00655A89"/>
    <w:rsid w:val="006571C0"/>
    <w:rsid w:val="006606B2"/>
    <w:rsid w:val="006616B6"/>
    <w:rsid w:val="00662032"/>
    <w:rsid w:val="00662CC4"/>
    <w:rsid w:val="006635B3"/>
    <w:rsid w:val="00663792"/>
    <w:rsid w:val="006643D9"/>
    <w:rsid w:val="00664F41"/>
    <w:rsid w:val="006653DB"/>
    <w:rsid w:val="00665C76"/>
    <w:rsid w:val="00666FAE"/>
    <w:rsid w:val="006752E8"/>
    <w:rsid w:val="006754B2"/>
    <w:rsid w:val="00676AC8"/>
    <w:rsid w:val="0067708B"/>
    <w:rsid w:val="00677481"/>
    <w:rsid w:val="00681F2B"/>
    <w:rsid w:val="00685638"/>
    <w:rsid w:val="006865D8"/>
    <w:rsid w:val="00686794"/>
    <w:rsid w:val="00686DA6"/>
    <w:rsid w:val="00687BBB"/>
    <w:rsid w:val="00693ED1"/>
    <w:rsid w:val="006952B4"/>
    <w:rsid w:val="00696783"/>
    <w:rsid w:val="00696853"/>
    <w:rsid w:val="00696FC4"/>
    <w:rsid w:val="00697F40"/>
    <w:rsid w:val="006A06BC"/>
    <w:rsid w:val="006A1C57"/>
    <w:rsid w:val="006A1C79"/>
    <w:rsid w:val="006A2EC2"/>
    <w:rsid w:val="006A5F3D"/>
    <w:rsid w:val="006A69AA"/>
    <w:rsid w:val="006A71FD"/>
    <w:rsid w:val="006B0BBB"/>
    <w:rsid w:val="006B1B6E"/>
    <w:rsid w:val="006B2FB3"/>
    <w:rsid w:val="006B3437"/>
    <w:rsid w:val="006B56A9"/>
    <w:rsid w:val="006B588A"/>
    <w:rsid w:val="006B590E"/>
    <w:rsid w:val="006B608B"/>
    <w:rsid w:val="006B60C9"/>
    <w:rsid w:val="006B7821"/>
    <w:rsid w:val="006B7848"/>
    <w:rsid w:val="006B7F40"/>
    <w:rsid w:val="006C05D8"/>
    <w:rsid w:val="006C191D"/>
    <w:rsid w:val="006C29F2"/>
    <w:rsid w:val="006C2DD1"/>
    <w:rsid w:val="006C2EFC"/>
    <w:rsid w:val="006C2F99"/>
    <w:rsid w:val="006C315F"/>
    <w:rsid w:val="006C3E03"/>
    <w:rsid w:val="006C5356"/>
    <w:rsid w:val="006C5AB4"/>
    <w:rsid w:val="006C633B"/>
    <w:rsid w:val="006C65CC"/>
    <w:rsid w:val="006D1B56"/>
    <w:rsid w:val="006D1D93"/>
    <w:rsid w:val="006D2871"/>
    <w:rsid w:val="006D2FE9"/>
    <w:rsid w:val="006D3599"/>
    <w:rsid w:val="006D3E6D"/>
    <w:rsid w:val="006D44EA"/>
    <w:rsid w:val="006D4931"/>
    <w:rsid w:val="006D537F"/>
    <w:rsid w:val="006D59E8"/>
    <w:rsid w:val="006D6A08"/>
    <w:rsid w:val="006D7003"/>
    <w:rsid w:val="006D7DC6"/>
    <w:rsid w:val="006E037A"/>
    <w:rsid w:val="006E03D0"/>
    <w:rsid w:val="006E4931"/>
    <w:rsid w:val="006E4A6B"/>
    <w:rsid w:val="006E70B3"/>
    <w:rsid w:val="006E78FC"/>
    <w:rsid w:val="006F0D03"/>
    <w:rsid w:val="006F0E42"/>
    <w:rsid w:val="006F3483"/>
    <w:rsid w:val="006F4380"/>
    <w:rsid w:val="006F472F"/>
    <w:rsid w:val="006F4D8D"/>
    <w:rsid w:val="006F766E"/>
    <w:rsid w:val="00703F97"/>
    <w:rsid w:val="0070426A"/>
    <w:rsid w:val="00704EF6"/>
    <w:rsid w:val="0070788C"/>
    <w:rsid w:val="00711DCC"/>
    <w:rsid w:val="00712B0C"/>
    <w:rsid w:val="0071426A"/>
    <w:rsid w:val="007149B3"/>
    <w:rsid w:val="007152D9"/>
    <w:rsid w:val="00715EFD"/>
    <w:rsid w:val="00716087"/>
    <w:rsid w:val="0071744F"/>
    <w:rsid w:val="00717CEE"/>
    <w:rsid w:val="00720086"/>
    <w:rsid w:val="00721A9C"/>
    <w:rsid w:val="00721E27"/>
    <w:rsid w:val="00723202"/>
    <w:rsid w:val="00724573"/>
    <w:rsid w:val="00724D5D"/>
    <w:rsid w:val="00727285"/>
    <w:rsid w:val="0072781E"/>
    <w:rsid w:val="00730F9E"/>
    <w:rsid w:val="007324E3"/>
    <w:rsid w:val="00732572"/>
    <w:rsid w:val="00733148"/>
    <w:rsid w:val="00734092"/>
    <w:rsid w:val="007344A5"/>
    <w:rsid w:val="007345AA"/>
    <w:rsid w:val="007348A4"/>
    <w:rsid w:val="0073720C"/>
    <w:rsid w:val="00737F48"/>
    <w:rsid w:val="007406EB"/>
    <w:rsid w:val="00740CB5"/>
    <w:rsid w:val="007420B6"/>
    <w:rsid w:val="007435F7"/>
    <w:rsid w:val="0074553D"/>
    <w:rsid w:val="007457C7"/>
    <w:rsid w:val="0074679A"/>
    <w:rsid w:val="00746AB2"/>
    <w:rsid w:val="00746E89"/>
    <w:rsid w:val="00746F00"/>
    <w:rsid w:val="007471E6"/>
    <w:rsid w:val="00753441"/>
    <w:rsid w:val="00753569"/>
    <w:rsid w:val="007539A9"/>
    <w:rsid w:val="00753A35"/>
    <w:rsid w:val="00753D04"/>
    <w:rsid w:val="007567CF"/>
    <w:rsid w:val="007575FE"/>
    <w:rsid w:val="007614B9"/>
    <w:rsid w:val="00761B6A"/>
    <w:rsid w:val="00761E75"/>
    <w:rsid w:val="00763214"/>
    <w:rsid w:val="00763B6D"/>
    <w:rsid w:val="00763D04"/>
    <w:rsid w:val="00765469"/>
    <w:rsid w:val="007660D8"/>
    <w:rsid w:val="007675B3"/>
    <w:rsid w:val="00770B36"/>
    <w:rsid w:val="0077372E"/>
    <w:rsid w:val="0077381B"/>
    <w:rsid w:val="00773A92"/>
    <w:rsid w:val="00773DC3"/>
    <w:rsid w:val="00776211"/>
    <w:rsid w:val="00776C3C"/>
    <w:rsid w:val="007808A8"/>
    <w:rsid w:val="00781DD6"/>
    <w:rsid w:val="00783FD3"/>
    <w:rsid w:val="007853B9"/>
    <w:rsid w:val="00785881"/>
    <w:rsid w:val="00785BAB"/>
    <w:rsid w:val="007862AC"/>
    <w:rsid w:val="00791020"/>
    <w:rsid w:val="007913C5"/>
    <w:rsid w:val="007918EE"/>
    <w:rsid w:val="00792EC2"/>
    <w:rsid w:val="00793A11"/>
    <w:rsid w:val="00794192"/>
    <w:rsid w:val="00794CA8"/>
    <w:rsid w:val="00795D2A"/>
    <w:rsid w:val="007966DE"/>
    <w:rsid w:val="007A02D4"/>
    <w:rsid w:val="007A0FA5"/>
    <w:rsid w:val="007A0FD6"/>
    <w:rsid w:val="007A1F52"/>
    <w:rsid w:val="007A288A"/>
    <w:rsid w:val="007A4111"/>
    <w:rsid w:val="007A4387"/>
    <w:rsid w:val="007A7ECD"/>
    <w:rsid w:val="007B12F8"/>
    <w:rsid w:val="007B1C2D"/>
    <w:rsid w:val="007B2F9A"/>
    <w:rsid w:val="007B3A99"/>
    <w:rsid w:val="007B453F"/>
    <w:rsid w:val="007B460B"/>
    <w:rsid w:val="007B4AF8"/>
    <w:rsid w:val="007B5E65"/>
    <w:rsid w:val="007B61BD"/>
    <w:rsid w:val="007B774D"/>
    <w:rsid w:val="007B7EAB"/>
    <w:rsid w:val="007B7F65"/>
    <w:rsid w:val="007C16E0"/>
    <w:rsid w:val="007C3080"/>
    <w:rsid w:val="007C3772"/>
    <w:rsid w:val="007C3AFF"/>
    <w:rsid w:val="007C3FF0"/>
    <w:rsid w:val="007C7950"/>
    <w:rsid w:val="007D0046"/>
    <w:rsid w:val="007D0832"/>
    <w:rsid w:val="007D147F"/>
    <w:rsid w:val="007D1491"/>
    <w:rsid w:val="007D2B5C"/>
    <w:rsid w:val="007D2CD1"/>
    <w:rsid w:val="007D3C5C"/>
    <w:rsid w:val="007D556C"/>
    <w:rsid w:val="007D7563"/>
    <w:rsid w:val="007D783C"/>
    <w:rsid w:val="007D792B"/>
    <w:rsid w:val="007D7A50"/>
    <w:rsid w:val="007E025C"/>
    <w:rsid w:val="007E0A90"/>
    <w:rsid w:val="007E1B2D"/>
    <w:rsid w:val="007E1CB4"/>
    <w:rsid w:val="007E1F44"/>
    <w:rsid w:val="007E252E"/>
    <w:rsid w:val="007E3328"/>
    <w:rsid w:val="007E3625"/>
    <w:rsid w:val="007E5111"/>
    <w:rsid w:val="007E52B6"/>
    <w:rsid w:val="007E5F90"/>
    <w:rsid w:val="007E619C"/>
    <w:rsid w:val="007E6824"/>
    <w:rsid w:val="007E6FEC"/>
    <w:rsid w:val="007E7AA2"/>
    <w:rsid w:val="007F0826"/>
    <w:rsid w:val="007F1535"/>
    <w:rsid w:val="007F1839"/>
    <w:rsid w:val="007F210D"/>
    <w:rsid w:val="007F25F9"/>
    <w:rsid w:val="007F2DCB"/>
    <w:rsid w:val="007F3349"/>
    <w:rsid w:val="007F4174"/>
    <w:rsid w:val="007F4196"/>
    <w:rsid w:val="007F6E16"/>
    <w:rsid w:val="007F74F0"/>
    <w:rsid w:val="007F7813"/>
    <w:rsid w:val="007F7D4E"/>
    <w:rsid w:val="00800336"/>
    <w:rsid w:val="00802840"/>
    <w:rsid w:val="0080403C"/>
    <w:rsid w:val="0080591A"/>
    <w:rsid w:val="008109E6"/>
    <w:rsid w:val="00810F29"/>
    <w:rsid w:val="00813CBD"/>
    <w:rsid w:val="00814FDA"/>
    <w:rsid w:val="00815722"/>
    <w:rsid w:val="00817236"/>
    <w:rsid w:val="00822C02"/>
    <w:rsid w:val="008261E4"/>
    <w:rsid w:val="0082654C"/>
    <w:rsid w:val="008300A9"/>
    <w:rsid w:val="00834C2C"/>
    <w:rsid w:val="0083536B"/>
    <w:rsid w:val="008358C3"/>
    <w:rsid w:val="00835B11"/>
    <w:rsid w:val="00840EC4"/>
    <w:rsid w:val="008421AB"/>
    <w:rsid w:val="008441AE"/>
    <w:rsid w:val="0084452D"/>
    <w:rsid w:val="00844D4D"/>
    <w:rsid w:val="00845775"/>
    <w:rsid w:val="0084650D"/>
    <w:rsid w:val="008475BE"/>
    <w:rsid w:val="008523C0"/>
    <w:rsid w:val="00853254"/>
    <w:rsid w:val="008539D4"/>
    <w:rsid w:val="00860110"/>
    <w:rsid w:val="008602C1"/>
    <w:rsid w:val="00862B07"/>
    <w:rsid w:val="00862E3B"/>
    <w:rsid w:val="008634D5"/>
    <w:rsid w:val="00865C99"/>
    <w:rsid w:val="00867E30"/>
    <w:rsid w:val="00870B38"/>
    <w:rsid w:val="0087231C"/>
    <w:rsid w:val="00875C07"/>
    <w:rsid w:val="008801E7"/>
    <w:rsid w:val="00882C9E"/>
    <w:rsid w:val="0088360D"/>
    <w:rsid w:val="0088372A"/>
    <w:rsid w:val="00883CE5"/>
    <w:rsid w:val="00884E0B"/>
    <w:rsid w:val="00886257"/>
    <w:rsid w:val="00886ECD"/>
    <w:rsid w:val="00887F66"/>
    <w:rsid w:val="0089154F"/>
    <w:rsid w:val="008951A6"/>
    <w:rsid w:val="00895DB2"/>
    <w:rsid w:val="008965BA"/>
    <w:rsid w:val="0089786C"/>
    <w:rsid w:val="00897B4D"/>
    <w:rsid w:val="008A09E3"/>
    <w:rsid w:val="008A1B85"/>
    <w:rsid w:val="008A2A2E"/>
    <w:rsid w:val="008A4F31"/>
    <w:rsid w:val="008A5802"/>
    <w:rsid w:val="008A5B16"/>
    <w:rsid w:val="008A691B"/>
    <w:rsid w:val="008A7A3D"/>
    <w:rsid w:val="008B0317"/>
    <w:rsid w:val="008B05DD"/>
    <w:rsid w:val="008B0B93"/>
    <w:rsid w:val="008B1319"/>
    <w:rsid w:val="008B758A"/>
    <w:rsid w:val="008B7B60"/>
    <w:rsid w:val="008C24E0"/>
    <w:rsid w:val="008C54C6"/>
    <w:rsid w:val="008C59EC"/>
    <w:rsid w:val="008C60D2"/>
    <w:rsid w:val="008D025E"/>
    <w:rsid w:val="008D12A7"/>
    <w:rsid w:val="008D140F"/>
    <w:rsid w:val="008D190F"/>
    <w:rsid w:val="008D19DD"/>
    <w:rsid w:val="008D368A"/>
    <w:rsid w:val="008D3F41"/>
    <w:rsid w:val="008D4B70"/>
    <w:rsid w:val="008D578C"/>
    <w:rsid w:val="008D629E"/>
    <w:rsid w:val="008E0856"/>
    <w:rsid w:val="008E0C33"/>
    <w:rsid w:val="008E216D"/>
    <w:rsid w:val="008E2576"/>
    <w:rsid w:val="008E2F0F"/>
    <w:rsid w:val="008E3B8F"/>
    <w:rsid w:val="008E3CD3"/>
    <w:rsid w:val="008E5D10"/>
    <w:rsid w:val="008E7187"/>
    <w:rsid w:val="008E7889"/>
    <w:rsid w:val="008E7EFA"/>
    <w:rsid w:val="008F0BC5"/>
    <w:rsid w:val="008F3319"/>
    <w:rsid w:val="008F3E94"/>
    <w:rsid w:val="008F4AC2"/>
    <w:rsid w:val="008F4D73"/>
    <w:rsid w:val="008F4E33"/>
    <w:rsid w:val="008F52A8"/>
    <w:rsid w:val="008F5B78"/>
    <w:rsid w:val="008F7596"/>
    <w:rsid w:val="009017CB"/>
    <w:rsid w:val="00903199"/>
    <w:rsid w:val="00904ED8"/>
    <w:rsid w:val="00907244"/>
    <w:rsid w:val="00907384"/>
    <w:rsid w:val="0091296D"/>
    <w:rsid w:val="00912B66"/>
    <w:rsid w:val="00913E33"/>
    <w:rsid w:val="00915468"/>
    <w:rsid w:val="00916546"/>
    <w:rsid w:val="00921113"/>
    <w:rsid w:val="009212AD"/>
    <w:rsid w:val="009212C7"/>
    <w:rsid w:val="00923D14"/>
    <w:rsid w:val="00930AD0"/>
    <w:rsid w:val="0093114A"/>
    <w:rsid w:val="0093197A"/>
    <w:rsid w:val="0093458A"/>
    <w:rsid w:val="00935C44"/>
    <w:rsid w:val="0093634E"/>
    <w:rsid w:val="00936809"/>
    <w:rsid w:val="00940967"/>
    <w:rsid w:val="009409CB"/>
    <w:rsid w:val="00940CC4"/>
    <w:rsid w:val="0094106F"/>
    <w:rsid w:val="00941C2A"/>
    <w:rsid w:val="00941FB7"/>
    <w:rsid w:val="00942F9C"/>
    <w:rsid w:val="00943364"/>
    <w:rsid w:val="00944063"/>
    <w:rsid w:val="00944147"/>
    <w:rsid w:val="0094479D"/>
    <w:rsid w:val="00945686"/>
    <w:rsid w:val="00945817"/>
    <w:rsid w:val="009459F6"/>
    <w:rsid w:val="00947728"/>
    <w:rsid w:val="00950179"/>
    <w:rsid w:val="00950FEF"/>
    <w:rsid w:val="009515E7"/>
    <w:rsid w:val="0095279C"/>
    <w:rsid w:val="00952CE5"/>
    <w:rsid w:val="00953363"/>
    <w:rsid w:val="00953B3D"/>
    <w:rsid w:val="00955D48"/>
    <w:rsid w:val="00956227"/>
    <w:rsid w:val="00957F91"/>
    <w:rsid w:val="00960A5C"/>
    <w:rsid w:val="009625E7"/>
    <w:rsid w:val="0096260D"/>
    <w:rsid w:val="009665C3"/>
    <w:rsid w:val="00966A1C"/>
    <w:rsid w:val="009703D8"/>
    <w:rsid w:val="00970916"/>
    <w:rsid w:val="00971266"/>
    <w:rsid w:val="00972A0E"/>
    <w:rsid w:val="00972BCB"/>
    <w:rsid w:val="00973489"/>
    <w:rsid w:val="00973CF4"/>
    <w:rsid w:val="00974366"/>
    <w:rsid w:val="0097586C"/>
    <w:rsid w:val="00976527"/>
    <w:rsid w:val="00976DBB"/>
    <w:rsid w:val="00980F9C"/>
    <w:rsid w:val="00981F03"/>
    <w:rsid w:val="0098206A"/>
    <w:rsid w:val="009824CE"/>
    <w:rsid w:val="00983178"/>
    <w:rsid w:val="009831D8"/>
    <w:rsid w:val="009834F0"/>
    <w:rsid w:val="00983A1E"/>
    <w:rsid w:val="00984EF1"/>
    <w:rsid w:val="00984F5A"/>
    <w:rsid w:val="00985051"/>
    <w:rsid w:val="009867BB"/>
    <w:rsid w:val="00986861"/>
    <w:rsid w:val="009870D0"/>
    <w:rsid w:val="0098738E"/>
    <w:rsid w:val="00987DC7"/>
    <w:rsid w:val="00991001"/>
    <w:rsid w:val="00991F73"/>
    <w:rsid w:val="00991FE7"/>
    <w:rsid w:val="00992D02"/>
    <w:rsid w:val="00992EAB"/>
    <w:rsid w:val="00993AC7"/>
    <w:rsid w:val="00994449"/>
    <w:rsid w:val="00994949"/>
    <w:rsid w:val="00995090"/>
    <w:rsid w:val="009A0925"/>
    <w:rsid w:val="009A1052"/>
    <w:rsid w:val="009A14CB"/>
    <w:rsid w:val="009A19FC"/>
    <w:rsid w:val="009A31AF"/>
    <w:rsid w:val="009A3DC3"/>
    <w:rsid w:val="009A5635"/>
    <w:rsid w:val="009A5DF2"/>
    <w:rsid w:val="009A5E53"/>
    <w:rsid w:val="009A6165"/>
    <w:rsid w:val="009A6DBF"/>
    <w:rsid w:val="009A6F09"/>
    <w:rsid w:val="009B00C5"/>
    <w:rsid w:val="009B0C61"/>
    <w:rsid w:val="009B1CCE"/>
    <w:rsid w:val="009B29B8"/>
    <w:rsid w:val="009B32D8"/>
    <w:rsid w:val="009B55D6"/>
    <w:rsid w:val="009B6C8F"/>
    <w:rsid w:val="009B7144"/>
    <w:rsid w:val="009B7603"/>
    <w:rsid w:val="009B7D24"/>
    <w:rsid w:val="009C15DB"/>
    <w:rsid w:val="009C454D"/>
    <w:rsid w:val="009C5791"/>
    <w:rsid w:val="009C61BE"/>
    <w:rsid w:val="009C666C"/>
    <w:rsid w:val="009C67AC"/>
    <w:rsid w:val="009C6BE1"/>
    <w:rsid w:val="009C7779"/>
    <w:rsid w:val="009C7B18"/>
    <w:rsid w:val="009C7CA6"/>
    <w:rsid w:val="009C7D65"/>
    <w:rsid w:val="009D11A3"/>
    <w:rsid w:val="009D126B"/>
    <w:rsid w:val="009D2D13"/>
    <w:rsid w:val="009D2DEE"/>
    <w:rsid w:val="009D4182"/>
    <w:rsid w:val="009D7205"/>
    <w:rsid w:val="009E12B2"/>
    <w:rsid w:val="009E1A00"/>
    <w:rsid w:val="009E2F1D"/>
    <w:rsid w:val="009E3481"/>
    <w:rsid w:val="009E43FF"/>
    <w:rsid w:val="009E6915"/>
    <w:rsid w:val="009E7168"/>
    <w:rsid w:val="009F1C25"/>
    <w:rsid w:val="009F5474"/>
    <w:rsid w:val="009F7784"/>
    <w:rsid w:val="009F7B0D"/>
    <w:rsid w:val="00A0180F"/>
    <w:rsid w:val="00A01822"/>
    <w:rsid w:val="00A0381E"/>
    <w:rsid w:val="00A0499A"/>
    <w:rsid w:val="00A04B5A"/>
    <w:rsid w:val="00A04BD4"/>
    <w:rsid w:val="00A0602B"/>
    <w:rsid w:val="00A06E84"/>
    <w:rsid w:val="00A079C7"/>
    <w:rsid w:val="00A10D2B"/>
    <w:rsid w:val="00A114C0"/>
    <w:rsid w:val="00A11C3F"/>
    <w:rsid w:val="00A125C2"/>
    <w:rsid w:val="00A12BF6"/>
    <w:rsid w:val="00A1344B"/>
    <w:rsid w:val="00A15EF2"/>
    <w:rsid w:val="00A168E4"/>
    <w:rsid w:val="00A175FE"/>
    <w:rsid w:val="00A200BC"/>
    <w:rsid w:val="00A207EE"/>
    <w:rsid w:val="00A211AC"/>
    <w:rsid w:val="00A229CA"/>
    <w:rsid w:val="00A234E5"/>
    <w:rsid w:val="00A23C3F"/>
    <w:rsid w:val="00A25363"/>
    <w:rsid w:val="00A25412"/>
    <w:rsid w:val="00A25B12"/>
    <w:rsid w:val="00A26AD4"/>
    <w:rsid w:val="00A2701A"/>
    <w:rsid w:val="00A273EA"/>
    <w:rsid w:val="00A27E9C"/>
    <w:rsid w:val="00A31584"/>
    <w:rsid w:val="00A330AA"/>
    <w:rsid w:val="00A33257"/>
    <w:rsid w:val="00A3368C"/>
    <w:rsid w:val="00A34D6D"/>
    <w:rsid w:val="00A34E8D"/>
    <w:rsid w:val="00A35B6E"/>
    <w:rsid w:val="00A36BE6"/>
    <w:rsid w:val="00A37802"/>
    <w:rsid w:val="00A37874"/>
    <w:rsid w:val="00A40AF2"/>
    <w:rsid w:val="00A42B8B"/>
    <w:rsid w:val="00A45179"/>
    <w:rsid w:val="00A46570"/>
    <w:rsid w:val="00A4674E"/>
    <w:rsid w:val="00A4688E"/>
    <w:rsid w:val="00A47197"/>
    <w:rsid w:val="00A477FE"/>
    <w:rsid w:val="00A50283"/>
    <w:rsid w:val="00A503B1"/>
    <w:rsid w:val="00A504B1"/>
    <w:rsid w:val="00A5155D"/>
    <w:rsid w:val="00A52251"/>
    <w:rsid w:val="00A52B51"/>
    <w:rsid w:val="00A5478D"/>
    <w:rsid w:val="00A5481C"/>
    <w:rsid w:val="00A54982"/>
    <w:rsid w:val="00A54F0D"/>
    <w:rsid w:val="00A55001"/>
    <w:rsid w:val="00A60FE1"/>
    <w:rsid w:val="00A61663"/>
    <w:rsid w:val="00A61E81"/>
    <w:rsid w:val="00A6212A"/>
    <w:rsid w:val="00A625E6"/>
    <w:rsid w:val="00A62BFA"/>
    <w:rsid w:val="00A64B60"/>
    <w:rsid w:val="00A659DD"/>
    <w:rsid w:val="00A67011"/>
    <w:rsid w:val="00A70881"/>
    <w:rsid w:val="00A70A40"/>
    <w:rsid w:val="00A70CB3"/>
    <w:rsid w:val="00A7128C"/>
    <w:rsid w:val="00A717D7"/>
    <w:rsid w:val="00A7190E"/>
    <w:rsid w:val="00A71D90"/>
    <w:rsid w:val="00A731D4"/>
    <w:rsid w:val="00A73F20"/>
    <w:rsid w:val="00A74178"/>
    <w:rsid w:val="00A7617D"/>
    <w:rsid w:val="00A7662F"/>
    <w:rsid w:val="00A80225"/>
    <w:rsid w:val="00A8121B"/>
    <w:rsid w:val="00A83808"/>
    <w:rsid w:val="00A83ACC"/>
    <w:rsid w:val="00A83CFE"/>
    <w:rsid w:val="00A857BF"/>
    <w:rsid w:val="00A85914"/>
    <w:rsid w:val="00A901C0"/>
    <w:rsid w:val="00A91870"/>
    <w:rsid w:val="00A920D8"/>
    <w:rsid w:val="00A92328"/>
    <w:rsid w:val="00A929D5"/>
    <w:rsid w:val="00A945F1"/>
    <w:rsid w:val="00A948EF"/>
    <w:rsid w:val="00A95A3D"/>
    <w:rsid w:val="00A96AC6"/>
    <w:rsid w:val="00A9763F"/>
    <w:rsid w:val="00A977CE"/>
    <w:rsid w:val="00AA1DA8"/>
    <w:rsid w:val="00AA2CE5"/>
    <w:rsid w:val="00AA3101"/>
    <w:rsid w:val="00AA3169"/>
    <w:rsid w:val="00AA3559"/>
    <w:rsid w:val="00AA3B74"/>
    <w:rsid w:val="00AA62D7"/>
    <w:rsid w:val="00AA66AC"/>
    <w:rsid w:val="00AA670B"/>
    <w:rsid w:val="00AA6DA6"/>
    <w:rsid w:val="00AA705C"/>
    <w:rsid w:val="00AA7BB2"/>
    <w:rsid w:val="00AB2CAB"/>
    <w:rsid w:val="00AB47A7"/>
    <w:rsid w:val="00AB4947"/>
    <w:rsid w:val="00AB6274"/>
    <w:rsid w:val="00AC08D3"/>
    <w:rsid w:val="00AC2050"/>
    <w:rsid w:val="00AC2672"/>
    <w:rsid w:val="00AC3E22"/>
    <w:rsid w:val="00AC44DB"/>
    <w:rsid w:val="00AC53BC"/>
    <w:rsid w:val="00AC588C"/>
    <w:rsid w:val="00AC6890"/>
    <w:rsid w:val="00AC7764"/>
    <w:rsid w:val="00AC7BFC"/>
    <w:rsid w:val="00AD16E1"/>
    <w:rsid w:val="00AD1AFF"/>
    <w:rsid w:val="00AD1D3A"/>
    <w:rsid w:val="00AD2874"/>
    <w:rsid w:val="00AD2D3A"/>
    <w:rsid w:val="00AD4B15"/>
    <w:rsid w:val="00AD54B5"/>
    <w:rsid w:val="00AD6760"/>
    <w:rsid w:val="00AD750F"/>
    <w:rsid w:val="00AE12CB"/>
    <w:rsid w:val="00AE1C31"/>
    <w:rsid w:val="00AE2820"/>
    <w:rsid w:val="00AE5177"/>
    <w:rsid w:val="00AE54A6"/>
    <w:rsid w:val="00AE6152"/>
    <w:rsid w:val="00AE64CC"/>
    <w:rsid w:val="00AE6CC0"/>
    <w:rsid w:val="00AE717E"/>
    <w:rsid w:val="00AE7967"/>
    <w:rsid w:val="00AF1679"/>
    <w:rsid w:val="00AF341D"/>
    <w:rsid w:val="00B0164A"/>
    <w:rsid w:val="00B023BC"/>
    <w:rsid w:val="00B0399C"/>
    <w:rsid w:val="00B04CEF"/>
    <w:rsid w:val="00B06F99"/>
    <w:rsid w:val="00B10D57"/>
    <w:rsid w:val="00B11A85"/>
    <w:rsid w:val="00B11B73"/>
    <w:rsid w:val="00B11BAB"/>
    <w:rsid w:val="00B121F3"/>
    <w:rsid w:val="00B13F7F"/>
    <w:rsid w:val="00B147AC"/>
    <w:rsid w:val="00B14BD8"/>
    <w:rsid w:val="00B15F3E"/>
    <w:rsid w:val="00B16773"/>
    <w:rsid w:val="00B169C1"/>
    <w:rsid w:val="00B16F6F"/>
    <w:rsid w:val="00B16FD9"/>
    <w:rsid w:val="00B1727E"/>
    <w:rsid w:val="00B17FF9"/>
    <w:rsid w:val="00B204B7"/>
    <w:rsid w:val="00B207E9"/>
    <w:rsid w:val="00B23BC2"/>
    <w:rsid w:val="00B254C0"/>
    <w:rsid w:val="00B25E8F"/>
    <w:rsid w:val="00B26DE0"/>
    <w:rsid w:val="00B2733C"/>
    <w:rsid w:val="00B3075D"/>
    <w:rsid w:val="00B3085C"/>
    <w:rsid w:val="00B31215"/>
    <w:rsid w:val="00B31330"/>
    <w:rsid w:val="00B31D59"/>
    <w:rsid w:val="00B32B78"/>
    <w:rsid w:val="00B352BE"/>
    <w:rsid w:val="00B35AB1"/>
    <w:rsid w:val="00B35AC6"/>
    <w:rsid w:val="00B36AB9"/>
    <w:rsid w:val="00B37831"/>
    <w:rsid w:val="00B401D6"/>
    <w:rsid w:val="00B401F5"/>
    <w:rsid w:val="00B40C72"/>
    <w:rsid w:val="00B414BF"/>
    <w:rsid w:val="00B417B8"/>
    <w:rsid w:val="00B42FBC"/>
    <w:rsid w:val="00B430E3"/>
    <w:rsid w:val="00B431C4"/>
    <w:rsid w:val="00B439DF"/>
    <w:rsid w:val="00B44C40"/>
    <w:rsid w:val="00B458AC"/>
    <w:rsid w:val="00B45A33"/>
    <w:rsid w:val="00B46FD0"/>
    <w:rsid w:val="00B4771D"/>
    <w:rsid w:val="00B5028C"/>
    <w:rsid w:val="00B511CC"/>
    <w:rsid w:val="00B51E0D"/>
    <w:rsid w:val="00B52016"/>
    <w:rsid w:val="00B525BF"/>
    <w:rsid w:val="00B5354E"/>
    <w:rsid w:val="00B53DA7"/>
    <w:rsid w:val="00B5430C"/>
    <w:rsid w:val="00B547A5"/>
    <w:rsid w:val="00B54A4A"/>
    <w:rsid w:val="00B56D55"/>
    <w:rsid w:val="00B60256"/>
    <w:rsid w:val="00B62216"/>
    <w:rsid w:val="00B62B34"/>
    <w:rsid w:val="00B63244"/>
    <w:rsid w:val="00B63509"/>
    <w:rsid w:val="00B63933"/>
    <w:rsid w:val="00B63D09"/>
    <w:rsid w:val="00B641AA"/>
    <w:rsid w:val="00B65032"/>
    <w:rsid w:val="00B66C2C"/>
    <w:rsid w:val="00B6779A"/>
    <w:rsid w:val="00B71B7D"/>
    <w:rsid w:val="00B71D03"/>
    <w:rsid w:val="00B723F8"/>
    <w:rsid w:val="00B75B91"/>
    <w:rsid w:val="00B75BE3"/>
    <w:rsid w:val="00B75DB3"/>
    <w:rsid w:val="00B762EB"/>
    <w:rsid w:val="00B773A4"/>
    <w:rsid w:val="00B775BB"/>
    <w:rsid w:val="00B77E2E"/>
    <w:rsid w:val="00B80338"/>
    <w:rsid w:val="00B817C9"/>
    <w:rsid w:val="00B8290F"/>
    <w:rsid w:val="00B8324F"/>
    <w:rsid w:val="00B85942"/>
    <w:rsid w:val="00B86F91"/>
    <w:rsid w:val="00B87221"/>
    <w:rsid w:val="00B87D4A"/>
    <w:rsid w:val="00B906F7"/>
    <w:rsid w:val="00B92736"/>
    <w:rsid w:val="00B934A4"/>
    <w:rsid w:val="00B94B21"/>
    <w:rsid w:val="00B94CB9"/>
    <w:rsid w:val="00B94D9C"/>
    <w:rsid w:val="00B9667E"/>
    <w:rsid w:val="00B966FB"/>
    <w:rsid w:val="00BA2622"/>
    <w:rsid w:val="00BA27DA"/>
    <w:rsid w:val="00BA4185"/>
    <w:rsid w:val="00BA5CD6"/>
    <w:rsid w:val="00BA5DE0"/>
    <w:rsid w:val="00BA72B0"/>
    <w:rsid w:val="00BA760A"/>
    <w:rsid w:val="00BB1532"/>
    <w:rsid w:val="00BB1E2E"/>
    <w:rsid w:val="00BB1ECE"/>
    <w:rsid w:val="00BB2D5B"/>
    <w:rsid w:val="00BB3658"/>
    <w:rsid w:val="00BB60E3"/>
    <w:rsid w:val="00BB6E50"/>
    <w:rsid w:val="00BB7022"/>
    <w:rsid w:val="00BB7394"/>
    <w:rsid w:val="00BC1561"/>
    <w:rsid w:val="00BC200A"/>
    <w:rsid w:val="00BC2038"/>
    <w:rsid w:val="00BC4DDC"/>
    <w:rsid w:val="00BC5FAA"/>
    <w:rsid w:val="00BC7A1D"/>
    <w:rsid w:val="00BC7C95"/>
    <w:rsid w:val="00BD067B"/>
    <w:rsid w:val="00BD0CD7"/>
    <w:rsid w:val="00BD1BF0"/>
    <w:rsid w:val="00BD2266"/>
    <w:rsid w:val="00BD2D1C"/>
    <w:rsid w:val="00BD3064"/>
    <w:rsid w:val="00BD437B"/>
    <w:rsid w:val="00BD45DA"/>
    <w:rsid w:val="00BD47C5"/>
    <w:rsid w:val="00BD50B5"/>
    <w:rsid w:val="00BD5B99"/>
    <w:rsid w:val="00BD615B"/>
    <w:rsid w:val="00BD710E"/>
    <w:rsid w:val="00BD7E1F"/>
    <w:rsid w:val="00BE1529"/>
    <w:rsid w:val="00BE27B6"/>
    <w:rsid w:val="00BE2DC6"/>
    <w:rsid w:val="00BE32C2"/>
    <w:rsid w:val="00BE391D"/>
    <w:rsid w:val="00BE47C2"/>
    <w:rsid w:val="00BE5659"/>
    <w:rsid w:val="00BE5CE1"/>
    <w:rsid w:val="00BE6255"/>
    <w:rsid w:val="00BE6CE9"/>
    <w:rsid w:val="00BF0A6F"/>
    <w:rsid w:val="00BF1A18"/>
    <w:rsid w:val="00BF1FE3"/>
    <w:rsid w:val="00BF28A5"/>
    <w:rsid w:val="00BF32BD"/>
    <w:rsid w:val="00BF338E"/>
    <w:rsid w:val="00BF4584"/>
    <w:rsid w:val="00BF4661"/>
    <w:rsid w:val="00BF4667"/>
    <w:rsid w:val="00BF55B6"/>
    <w:rsid w:val="00BF5622"/>
    <w:rsid w:val="00BF61BE"/>
    <w:rsid w:val="00BF6658"/>
    <w:rsid w:val="00BF7500"/>
    <w:rsid w:val="00C000A7"/>
    <w:rsid w:val="00C027DF"/>
    <w:rsid w:val="00C02F6B"/>
    <w:rsid w:val="00C03C16"/>
    <w:rsid w:val="00C03D17"/>
    <w:rsid w:val="00C04746"/>
    <w:rsid w:val="00C04D7F"/>
    <w:rsid w:val="00C04F0B"/>
    <w:rsid w:val="00C062AE"/>
    <w:rsid w:val="00C0637D"/>
    <w:rsid w:val="00C0693D"/>
    <w:rsid w:val="00C0747A"/>
    <w:rsid w:val="00C11983"/>
    <w:rsid w:val="00C11F21"/>
    <w:rsid w:val="00C126DD"/>
    <w:rsid w:val="00C1296A"/>
    <w:rsid w:val="00C13A84"/>
    <w:rsid w:val="00C13C40"/>
    <w:rsid w:val="00C14341"/>
    <w:rsid w:val="00C14B66"/>
    <w:rsid w:val="00C169B6"/>
    <w:rsid w:val="00C16A93"/>
    <w:rsid w:val="00C178AA"/>
    <w:rsid w:val="00C17EC9"/>
    <w:rsid w:val="00C20BBF"/>
    <w:rsid w:val="00C225AD"/>
    <w:rsid w:val="00C227B1"/>
    <w:rsid w:val="00C24254"/>
    <w:rsid w:val="00C2507D"/>
    <w:rsid w:val="00C26D7A"/>
    <w:rsid w:val="00C2703A"/>
    <w:rsid w:val="00C27CB6"/>
    <w:rsid w:val="00C3029B"/>
    <w:rsid w:val="00C31CCC"/>
    <w:rsid w:val="00C33F91"/>
    <w:rsid w:val="00C354A4"/>
    <w:rsid w:val="00C35B8B"/>
    <w:rsid w:val="00C360D5"/>
    <w:rsid w:val="00C36877"/>
    <w:rsid w:val="00C371D5"/>
    <w:rsid w:val="00C373FC"/>
    <w:rsid w:val="00C41C83"/>
    <w:rsid w:val="00C426AD"/>
    <w:rsid w:val="00C44759"/>
    <w:rsid w:val="00C44853"/>
    <w:rsid w:val="00C44B04"/>
    <w:rsid w:val="00C501B1"/>
    <w:rsid w:val="00C508E3"/>
    <w:rsid w:val="00C516EB"/>
    <w:rsid w:val="00C5189C"/>
    <w:rsid w:val="00C51D0D"/>
    <w:rsid w:val="00C52EE1"/>
    <w:rsid w:val="00C532D9"/>
    <w:rsid w:val="00C53FBB"/>
    <w:rsid w:val="00C543D6"/>
    <w:rsid w:val="00C553E3"/>
    <w:rsid w:val="00C55A02"/>
    <w:rsid w:val="00C566C0"/>
    <w:rsid w:val="00C56713"/>
    <w:rsid w:val="00C56FDD"/>
    <w:rsid w:val="00C57349"/>
    <w:rsid w:val="00C57A08"/>
    <w:rsid w:val="00C57BC4"/>
    <w:rsid w:val="00C60162"/>
    <w:rsid w:val="00C60258"/>
    <w:rsid w:val="00C6151F"/>
    <w:rsid w:val="00C624C5"/>
    <w:rsid w:val="00C625DA"/>
    <w:rsid w:val="00C63B44"/>
    <w:rsid w:val="00C63DB7"/>
    <w:rsid w:val="00C657C1"/>
    <w:rsid w:val="00C65C5F"/>
    <w:rsid w:val="00C72837"/>
    <w:rsid w:val="00C734A8"/>
    <w:rsid w:val="00C7356F"/>
    <w:rsid w:val="00C73DAF"/>
    <w:rsid w:val="00C74989"/>
    <w:rsid w:val="00C75336"/>
    <w:rsid w:val="00C7589C"/>
    <w:rsid w:val="00C76047"/>
    <w:rsid w:val="00C7624F"/>
    <w:rsid w:val="00C767C6"/>
    <w:rsid w:val="00C76A0B"/>
    <w:rsid w:val="00C76BC1"/>
    <w:rsid w:val="00C8086F"/>
    <w:rsid w:val="00C80B7F"/>
    <w:rsid w:val="00C82291"/>
    <w:rsid w:val="00C82EC2"/>
    <w:rsid w:val="00C83B12"/>
    <w:rsid w:val="00C842C1"/>
    <w:rsid w:val="00C851F0"/>
    <w:rsid w:val="00C85A94"/>
    <w:rsid w:val="00C8636D"/>
    <w:rsid w:val="00C86780"/>
    <w:rsid w:val="00C86BB0"/>
    <w:rsid w:val="00C876F7"/>
    <w:rsid w:val="00C87F26"/>
    <w:rsid w:val="00C9040F"/>
    <w:rsid w:val="00C906C2"/>
    <w:rsid w:val="00C9072D"/>
    <w:rsid w:val="00C907A7"/>
    <w:rsid w:val="00C91067"/>
    <w:rsid w:val="00C919FF"/>
    <w:rsid w:val="00C91EEE"/>
    <w:rsid w:val="00C9349C"/>
    <w:rsid w:val="00C93B0A"/>
    <w:rsid w:val="00C9478B"/>
    <w:rsid w:val="00C94C9D"/>
    <w:rsid w:val="00C95017"/>
    <w:rsid w:val="00C954E5"/>
    <w:rsid w:val="00C95569"/>
    <w:rsid w:val="00C95DD7"/>
    <w:rsid w:val="00C9716B"/>
    <w:rsid w:val="00C97D33"/>
    <w:rsid w:val="00CA0F72"/>
    <w:rsid w:val="00CA2597"/>
    <w:rsid w:val="00CA38F1"/>
    <w:rsid w:val="00CA49AC"/>
    <w:rsid w:val="00CA51E0"/>
    <w:rsid w:val="00CA6386"/>
    <w:rsid w:val="00CB09B8"/>
    <w:rsid w:val="00CB1A1A"/>
    <w:rsid w:val="00CB224D"/>
    <w:rsid w:val="00CB266A"/>
    <w:rsid w:val="00CB2C30"/>
    <w:rsid w:val="00CB2C42"/>
    <w:rsid w:val="00CB30A1"/>
    <w:rsid w:val="00CB32D1"/>
    <w:rsid w:val="00CB37A4"/>
    <w:rsid w:val="00CB4A78"/>
    <w:rsid w:val="00CB5149"/>
    <w:rsid w:val="00CB5276"/>
    <w:rsid w:val="00CB5388"/>
    <w:rsid w:val="00CB62CE"/>
    <w:rsid w:val="00CB7175"/>
    <w:rsid w:val="00CB7736"/>
    <w:rsid w:val="00CC0265"/>
    <w:rsid w:val="00CC1E0C"/>
    <w:rsid w:val="00CC2E6A"/>
    <w:rsid w:val="00CC5B04"/>
    <w:rsid w:val="00CC62D8"/>
    <w:rsid w:val="00CC7109"/>
    <w:rsid w:val="00CC73F3"/>
    <w:rsid w:val="00CD0108"/>
    <w:rsid w:val="00CD1724"/>
    <w:rsid w:val="00CD5373"/>
    <w:rsid w:val="00CD53AC"/>
    <w:rsid w:val="00CD559E"/>
    <w:rsid w:val="00CD5B2D"/>
    <w:rsid w:val="00CD6958"/>
    <w:rsid w:val="00CD7EF4"/>
    <w:rsid w:val="00CE1CB8"/>
    <w:rsid w:val="00CE53A3"/>
    <w:rsid w:val="00CE5586"/>
    <w:rsid w:val="00CE5E14"/>
    <w:rsid w:val="00CE608E"/>
    <w:rsid w:val="00CF0445"/>
    <w:rsid w:val="00CF0F44"/>
    <w:rsid w:val="00CF32A3"/>
    <w:rsid w:val="00CF36A4"/>
    <w:rsid w:val="00CF3B8A"/>
    <w:rsid w:val="00CF3C87"/>
    <w:rsid w:val="00CF47B7"/>
    <w:rsid w:val="00CF50A7"/>
    <w:rsid w:val="00CF51A5"/>
    <w:rsid w:val="00CF68EE"/>
    <w:rsid w:val="00CF7900"/>
    <w:rsid w:val="00D003CD"/>
    <w:rsid w:val="00D0099C"/>
    <w:rsid w:val="00D00E82"/>
    <w:rsid w:val="00D011C3"/>
    <w:rsid w:val="00D015DF"/>
    <w:rsid w:val="00D01F79"/>
    <w:rsid w:val="00D039FA"/>
    <w:rsid w:val="00D0493C"/>
    <w:rsid w:val="00D05A67"/>
    <w:rsid w:val="00D05D5E"/>
    <w:rsid w:val="00D05E94"/>
    <w:rsid w:val="00D06E65"/>
    <w:rsid w:val="00D07DF5"/>
    <w:rsid w:val="00D11969"/>
    <w:rsid w:val="00D13038"/>
    <w:rsid w:val="00D157D2"/>
    <w:rsid w:val="00D20651"/>
    <w:rsid w:val="00D206F2"/>
    <w:rsid w:val="00D20A15"/>
    <w:rsid w:val="00D20E27"/>
    <w:rsid w:val="00D217C5"/>
    <w:rsid w:val="00D21A7B"/>
    <w:rsid w:val="00D21B5F"/>
    <w:rsid w:val="00D23C35"/>
    <w:rsid w:val="00D23E7D"/>
    <w:rsid w:val="00D24D9E"/>
    <w:rsid w:val="00D25C84"/>
    <w:rsid w:val="00D26244"/>
    <w:rsid w:val="00D267E9"/>
    <w:rsid w:val="00D27A7D"/>
    <w:rsid w:val="00D27D69"/>
    <w:rsid w:val="00D306D2"/>
    <w:rsid w:val="00D31733"/>
    <w:rsid w:val="00D32D4C"/>
    <w:rsid w:val="00D3447F"/>
    <w:rsid w:val="00D34CD1"/>
    <w:rsid w:val="00D36305"/>
    <w:rsid w:val="00D44BDF"/>
    <w:rsid w:val="00D44ECE"/>
    <w:rsid w:val="00D44FF8"/>
    <w:rsid w:val="00D4511C"/>
    <w:rsid w:val="00D45D03"/>
    <w:rsid w:val="00D45D35"/>
    <w:rsid w:val="00D464F4"/>
    <w:rsid w:val="00D51E2C"/>
    <w:rsid w:val="00D54046"/>
    <w:rsid w:val="00D5412A"/>
    <w:rsid w:val="00D54F23"/>
    <w:rsid w:val="00D55281"/>
    <w:rsid w:val="00D55919"/>
    <w:rsid w:val="00D56537"/>
    <w:rsid w:val="00D56C99"/>
    <w:rsid w:val="00D60427"/>
    <w:rsid w:val="00D61077"/>
    <w:rsid w:val="00D647D4"/>
    <w:rsid w:val="00D648BA"/>
    <w:rsid w:val="00D70251"/>
    <w:rsid w:val="00D72484"/>
    <w:rsid w:val="00D740C4"/>
    <w:rsid w:val="00D74507"/>
    <w:rsid w:val="00D74868"/>
    <w:rsid w:val="00D761C2"/>
    <w:rsid w:val="00D7690F"/>
    <w:rsid w:val="00D81098"/>
    <w:rsid w:val="00D8350A"/>
    <w:rsid w:val="00D835FF"/>
    <w:rsid w:val="00D848E5"/>
    <w:rsid w:val="00D86CFF"/>
    <w:rsid w:val="00D905F3"/>
    <w:rsid w:val="00D91CDB"/>
    <w:rsid w:val="00D9285E"/>
    <w:rsid w:val="00D93056"/>
    <w:rsid w:val="00D93869"/>
    <w:rsid w:val="00D945FA"/>
    <w:rsid w:val="00D9610D"/>
    <w:rsid w:val="00D961F8"/>
    <w:rsid w:val="00D9620B"/>
    <w:rsid w:val="00D96A07"/>
    <w:rsid w:val="00D979FC"/>
    <w:rsid w:val="00D97AF1"/>
    <w:rsid w:val="00DA0A53"/>
    <w:rsid w:val="00DA1432"/>
    <w:rsid w:val="00DA16E8"/>
    <w:rsid w:val="00DA1DDF"/>
    <w:rsid w:val="00DA29ED"/>
    <w:rsid w:val="00DA2F28"/>
    <w:rsid w:val="00DA35A3"/>
    <w:rsid w:val="00DA36A5"/>
    <w:rsid w:val="00DA40C8"/>
    <w:rsid w:val="00DA616A"/>
    <w:rsid w:val="00DA631C"/>
    <w:rsid w:val="00DA6A20"/>
    <w:rsid w:val="00DA798C"/>
    <w:rsid w:val="00DA79E2"/>
    <w:rsid w:val="00DA7D37"/>
    <w:rsid w:val="00DB1578"/>
    <w:rsid w:val="00DB1FB3"/>
    <w:rsid w:val="00DB2BF1"/>
    <w:rsid w:val="00DB2E78"/>
    <w:rsid w:val="00DB39DE"/>
    <w:rsid w:val="00DB3CEF"/>
    <w:rsid w:val="00DB4898"/>
    <w:rsid w:val="00DB51D3"/>
    <w:rsid w:val="00DB7C94"/>
    <w:rsid w:val="00DC277F"/>
    <w:rsid w:val="00DC29B3"/>
    <w:rsid w:val="00DC2DB2"/>
    <w:rsid w:val="00DC3736"/>
    <w:rsid w:val="00DC3A2B"/>
    <w:rsid w:val="00DC3ACD"/>
    <w:rsid w:val="00DC3C8C"/>
    <w:rsid w:val="00DC5EA9"/>
    <w:rsid w:val="00DC64C5"/>
    <w:rsid w:val="00DC6581"/>
    <w:rsid w:val="00DD018A"/>
    <w:rsid w:val="00DD06D1"/>
    <w:rsid w:val="00DD0C4A"/>
    <w:rsid w:val="00DD1349"/>
    <w:rsid w:val="00DD1808"/>
    <w:rsid w:val="00DD1B1F"/>
    <w:rsid w:val="00DD2434"/>
    <w:rsid w:val="00DD271E"/>
    <w:rsid w:val="00DD3CE1"/>
    <w:rsid w:val="00DD3FBC"/>
    <w:rsid w:val="00DD524F"/>
    <w:rsid w:val="00DD588D"/>
    <w:rsid w:val="00DD64B1"/>
    <w:rsid w:val="00DD7468"/>
    <w:rsid w:val="00DD7BD4"/>
    <w:rsid w:val="00DE1EA1"/>
    <w:rsid w:val="00DE2B8D"/>
    <w:rsid w:val="00DE2D88"/>
    <w:rsid w:val="00DE4F05"/>
    <w:rsid w:val="00DE534A"/>
    <w:rsid w:val="00DE67DA"/>
    <w:rsid w:val="00DF03FB"/>
    <w:rsid w:val="00DF368B"/>
    <w:rsid w:val="00DF41FC"/>
    <w:rsid w:val="00DF5678"/>
    <w:rsid w:val="00DF5F01"/>
    <w:rsid w:val="00DF62C4"/>
    <w:rsid w:val="00DF7B56"/>
    <w:rsid w:val="00DF7D23"/>
    <w:rsid w:val="00E007BA"/>
    <w:rsid w:val="00E01FC5"/>
    <w:rsid w:val="00E02A90"/>
    <w:rsid w:val="00E03105"/>
    <w:rsid w:val="00E0402D"/>
    <w:rsid w:val="00E04FF0"/>
    <w:rsid w:val="00E050FB"/>
    <w:rsid w:val="00E06BE7"/>
    <w:rsid w:val="00E1005C"/>
    <w:rsid w:val="00E1082A"/>
    <w:rsid w:val="00E11D90"/>
    <w:rsid w:val="00E11E6A"/>
    <w:rsid w:val="00E12326"/>
    <w:rsid w:val="00E1278B"/>
    <w:rsid w:val="00E14BD7"/>
    <w:rsid w:val="00E16733"/>
    <w:rsid w:val="00E17916"/>
    <w:rsid w:val="00E20B11"/>
    <w:rsid w:val="00E21C6D"/>
    <w:rsid w:val="00E22550"/>
    <w:rsid w:val="00E229A7"/>
    <w:rsid w:val="00E22AAE"/>
    <w:rsid w:val="00E22B82"/>
    <w:rsid w:val="00E237C1"/>
    <w:rsid w:val="00E244C4"/>
    <w:rsid w:val="00E246D7"/>
    <w:rsid w:val="00E2521D"/>
    <w:rsid w:val="00E25B4D"/>
    <w:rsid w:val="00E26796"/>
    <w:rsid w:val="00E26C9C"/>
    <w:rsid w:val="00E27599"/>
    <w:rsid w:val="00E31EE2"/>
    <w:rsid w:val="00E32E24"/>
    <w:rsid w:val="00E33113"/>
    <w:rsid w:val="00E4003B"/>
    <w:rsid w:val="00E40E1C"/>
    <w:rsid w:val="00E41171"/>
    <w:rsid w:val="00E413BB"/>
    <w:rsid w:val="00E419ED"/>
    <w:rsid w:val="00E43450"/>
    <w:rsid w:val="00E442AF"/>
    <w:rsid w:val="00E44C47"/>
    <w:rsid w:val="00E457BF"/>
    <w:rsid w:val="00E461BF"/>
    <w:rsid w:val="00E4651C"/>
    <w:rsid w:val="00E46D92"/>
    <w:rsid w:val="00E51876"/>
    <w:rsid w:val="00E53603"/>
    <w:rsid w:val="00E538D5"/>
    <w:rsid w:val="00E5484D"/>
    <w:rsid w:val="00E54B56"/>
    <w:rsid w:val="00E55DB4"/>
    <w:rsid w:val="00E60855"/>
    <w:rsid w:val="00E60BE8"/>
    <w:rsid w:val="00E60CC8"/>
    <w:rsid w:val="00E60FD8"/>
    <w:rsid w:val="00E611F7"/>
    <w:rsid w:val="00E6148A"/>
    <w:rsid w:val="00E62603"/>
    <w:rsid w:val="00E632EE"/>
    <w:rsid w:val="00E637E6"/>
    <w:rsid w:val="00E66014"/>
    <w:rsid w:val="00E6650E"/>
    <w:rsid w:val="00E66512"/>
    <w:rsid w:val="00E6670B"/>
    <w:rsid w:val="00E70397"/>
    <w:rsid w:val="00E710EC"/>
    <w:rsid w:val="00E7176F"/>
    <w:rsid w:val="00E73C9B"/>
    <w:rsid w:val="00E74141"/>
    <w:rsid w:val="00E8092D"/>
    <w:rsid w:val="00E80CCD"/>
    <w:rsid w:val="00E8225A"/>
    <w:rsid w:val="00E83020"/>
    <w:rsid w:val="00E8389B"/>
    <w:rsid w:val="00E849CF"/>
    <w:rsid w:val="00E85A19"/>
    <w:rsid w:val="00E869EC"/>
    <w:rsid w:val="00E871AE"/>
    <w:rsid w:val="00E877AE"/>
    <w:rsid w:val="00E87BF0"/>
    <w:rsid w:val="00E903BB"/>
    <w:rsid w:val="00E90449"/>
    <w:rsid w:val="00E9057C"/>
    <w:rsid w:val="00E90BDB"/>
    <w:rsid w:val="00E91703"/>
    <w:rsid w:val="00E9211B"/>
    <w:rsid w:val="00E9215D"/>
    <w:rsid w:val="00E93FEC"/>
    <w:rsid w:val="00E95433"/>
    <w:rsid w:val="00E95BDE"/>
    <w:rsid w:val="00E95BF7"/>
    <w:rsid w:val="00E9644B"/>
    <w:rsid w:val="00E97062"/>
    <w:rsid w:val="00E97D7A"/>
    <w:rsid w:val="00EA055B"/>
    <w:rsid w:val="00EA2145"/>
    <w:rsid w:val="00EA36B7"/>
    <w:rsid w:val="00EA439D"/>
    <w:rsid w:val="00EA5E9C"/>
    <w:rsid w:val="00EA6443"/>
    <w:rsid w:val="00EA774D"/>
    <w:rsid w:val="00EA77B6"/>
    <w:rsid w:val="00EA7DF6"/>
    <w:rsid w:val="00EB1A8F"/>
    <w:rsid w:val="00EB238C"/>
    <w:rsid w:val="00EB2F05"/>
    <w:rsid w:val="00EB4018"/>
    <w:rsid w:val="00EB4E80"/>
    <w:rsid w:val="00EB76F5"/>
    <w:rsid w:val="00EC1138"/>
    <w:rsid w:val="00EC2497"/>
    <w:rsid w:val="00EC44F3"/>
    <w:rsid w:val="00EC4E62"/>
    <w:rsid w:val="00EC6642"/>
    <w:rsid w:val="00EC744C"/>
    <w:rsid w:val="00ED1D94"/>
    <w:rsid w:val="00ED24B5"/>
    <w:rsid w:val="00ED35C7"/>
    <w:rsid w:val="00ED3B56"/>
    <w:rsid w:val="00ED504C"/>
    <w:rsid w:val="00ED53D5"/>
    <w:rsid w:val="00ED55EF"/>
    <w:rsid w:val="00ED5E14"/>
    <w:rsid w:val="00ED606D"/>
    <w:rsid w:val="00ED6A7A"/>
    <w:rsid w:val="00ED6A7F"/>
    <w:rsid w:val="00EE1607"/>
    <w:rsid w:val="00EE41DD"/>
    <w:rsid w:val="00EE6762"/>
    <w:rsid w:val="00EF0750"/>
    <w:rsid w:val="00EF2466"/>
    <w:rsid w:val="00EF2A81"/>
    <w:rsid w:val="00EF3353"/>
    <w:rsid w:val="00EF3848"/>
    <w:rsid w:val="00EF3D60"/>
    <w:rsid w:val="00EF414A"/>
    <w:rsid w:val="00EF4251"/>
    <w:rsid w:val="00EF46C2"/>
    <w:rsid w:val="00EF489A"/>
    <w:rsid w:val="00EF661C"/>
    <w:rsid w:val="00EF6C0B"/>
    <w:rsid w:val="00EF7218"/>
    <w:rsid w:val="00F0007A"/>
    <w:rsid w:val="00F003B1"/>
    <w:rsid w:val="00F00A8A"/>
    <w:rsid w:val="00F01B7D"/>
    <w:rsid w:val="00F025A8"/>
    <w:rsid w:val="00F027DD"/>
    <w:rsid w:val="00F044AD"/>
    <w:rsid w:val="00F06227"/>
    <w:rsid w:val="00F077E8"/>
    <w:rsid w:val="00F104BD"/>
    <w:rsid w:val="00F1052D"/>
    <w:rsid w:val="00F105D7"/>
    <w:rsid w:val="00F123C0"/>
    <w:rsid w:val="00F1270C"/>
    <w:rsid w:val="00F12FF5"/>
    <w:rsid w:val="00F13E49"/>
    <w:rsid w:val="00F13F53"/>
    <w:rsid w:val="00F14823"/>
    <w:rsid w:val="00F14A12"/>
    <w:rsid w:val="00F14B61"/>
    <w:rsid w:val="00F15AE2"/>
    <w:rsid w:val="00F16647"/>
    <w:rsid w:val="00F16DB4"/>
    <w:rsid w:val="00F20166"/>
    <w:rsid w:val="00F20A96"/>
    <w:rsid w:val="00F23923"/>
    <w:rsid w:val="00F25A62"/>
    <w:rsid w:val="00F273F6"/>
    <w:rsid w:val="00F309B7"/>
    <w:rsid w:val="00F30CD3"/>
    <w:rsid w:val="00F33904"/>
    <w:rsid w:val="00F33CCC"/>
    <w:rsid w:val="00F349CF"/>
    <w:rsid w:val="00F361B0"/>
    <w:rsid w:val="00F367B0"/>
    <w:rsid w:val="00F401B9"/>
    <w:rsid w:val="00F402D8"/>
    <w:rsid w:val="00F40F59"/>
    <w:rsid w:val="00F41505"/>
    <w:rsid w:val="00F41CF9"/>
    <w:rsid w:val="00F42B57"/>
    <w:rsid w:val="00F4380A"/>
    <w:rsid w:val="00F44B55"/>
    <w:rsid w:val="00F44DDC"/>
    <w:rsid w:val="00F4514A"/>
    <w:rsid w:val="00F45B0E"/>
    <w:rsid w:val="00F46815"/>
    <w:rsid w:val="00F4695D"/>
    <w:rsid w:val="00F47902"/>
    <w:rsid w:val="00F47CD7"/>
    <w:rsid w:val="00F47E58"/>
    <w:rsid w:val="00F50CEE"/>
    <w:rsid w:val="00F5120F"/>
    <w:rsid w:val="00F51289"/>
    <w:rsid w:val="00F51D7C"/>
    <w:rsid w:val="00F5400A"/>
    <w:rsid w:val="00F55530"/>
    <w:rsid w:val="00F5620A"/>
    <w:rsid w:val="00F56855"/>
    <w:rsid w:val="00F57532"/>
    <w:rsid w:val="00F602D9"/>
    <w:rsid w:val="00F62015"/>
    <w:rsid w:val="00F62259"/>
    <w:rsid w:val="00F63815"/>
    <w:rsid w:val="00F63F3D"/>
    <w:rsid w:val="00F64785"/>
    <w:rsid w:val="00F6546F"/>
    <w:rsid w:val="00F66528"/>
    <w:rsid w:val="00F67E7C"/>
    <w:rsid w:val="00F700C9"/>
    <w:rsid w:val="00F71283"/>
    <w:rsid w:val="00F7166B"/>
    <w:rsid w:val="00F71950"/>
    <w:rsid w:val="00F72160"/>
    <w:rsid w:val="00F72263"/>
    <w:rsid w:val="00F72370"/>
    <w:rsid w:val="00F72386"/>
    <w:rsid w:val="00F72A9F"/>
    <w:rsid w:val="00F73762"/>
    <w:rsid w:val="00F73FB9"/>
    <w:rsid w:val="00F749B1"/>
    <w:rsid w:val="00F75832"/>
    <w:rsid w:val="00F760EB"/>
    <w:rsid w:val="00F7632C"/>
    <w:rsid w:val="00F80172"/>
    <w:rsid w:val="00F84224"/>
    <w:rsid w:val="00F845C3"/>
    <w:rsid w:val="00F85A3B"/>
    <w:rsid w:val="00F86A36"/>
    <w:rsid w:val="00F904A3"/>
    <w:rsid w:val="00F91628"/>
    <w:rsid w:val="00F91A58"/>
    <w:rsid w:val="00F91DCD"/>
    <w:rsid w:val="00F92295"/>
    <w:rsid w:val="00F9347A"/>
    <w:rsid w:val="00F93E15"/>
    <w:rsid w:val="00F94AB1"/>
    <w:rsid w:val="00F95414"/>
    <w:rsid w:val="00F96AB7"/>
    <w:rsid w:val="00F975E5"/>
    <w:rsid w:val="00FA0533"/>
    <w:rsid w:val="00FA0A40"/>
    <w:rsid w:val="00FA0C42"/>
    <w:rsid w:val="00FA124F"/>
    <w:rsid w:val="00FA1C2B"/>
    <w:rsid w:val="00FA23DE"/>
    <w:rsid w:val="00FA243E"/>
    <w:rsid w:val="00FA2EAA"/>
    <w:rsid w:val="00FA3AF3"/>
    <w:rsid w:val="00FA46B3"/>
    <w:rsid w:val="00FA5AE7"/>
    <w:rsid w:val="00FA7006"/>
    <w:rsid w:val="00FA7229"/>
    <w:rsid w:val="00FA7379"/>
    <w:rsid w:val="00FA7CF8"/>
    <w:rsid w:val="00FB09D7"/>
    <w:rsid w:val="00FB11AF"/>
    <w:rsid w:val="00FB17D0"/>
    <w:rsid w:val="00FB1E2C"/>
    <w:rsid w:val="00FB24B6"/>
    <w:rsid w:val="00FB33D7"/>
    <w:rsid w:val="00FB3750"/>
    <w:rsid w:val="00FB435B"/>
    <w:rsid w:val="00FB45F2"/>
    <w:rsid w:val="00FB48B4"/>
    <w:rsid w:val="00FB5E35"/>
    <w:rsid w:val="00FB735E"/>
    <w:rsid w:val="00FB7445"/>
    <w:rsid w:val="00FC156F"/>
    <w:rsid w:val="00FC19A0"/>
    <w:rsid w:val="00FC1E2B"/>
    <w:rsid w:val="00FC417D"/>
    <w:rsid w:val="00FC4BB9"/>
    <w:rsid w:val="00FC5291"/>
    <w:rsid w:val="00FC6115"/>
    <w:rsid w:val="00FC62E7"/>
    <w:rsid w:val="00FC660C"/>
    <w:rsid w:val="00FC6969"/>
    <w:rsid w:val="00FD09D6"/>
    <w:rsid w:val="00FD0FD5"/>
    <w:rsid w:val="00FD130B"/>
    <w:rsid w:val="00FD1A1B"/>
    <w:rsid w:val="00FD1CFF"/>
    <w:rsid w:val="00FD3FD7"/>
    <w:rsid w:val="00FD417F"/>
    <w:rsid w:val="00FD5EC6"/>
    <w:rsid w:val="00FE1411"/>
    <w:rsid w:val="00FE19FA"/>
    <w:rsid w:val="00FE41A3"/>
    <w:rsid w:val="00FE47DF"/>
    <w:rsid w:val="00FE5921"/>
    <w:rsid w:val="00FE61DD"/>
    <w:rsid w:val="00FE6E7A"/>
    <w:rsid w:val="00FF1C33"/>
    <w:rsid w:val="00FF213D"/>
    <w:rsid w:val="00FF2ABB"/>
    <w:rsid w:val="00FF4816"/>
    <w:rsid w:val="00FF51A9"/>
    <w:rsid w:val="00FF5530"/>
    <w:rsid w:val="00FF61DC"/>
    <w:rsid w:val="00FF6707"/>
    <w:rsid w:val="00FF6902"/>
    <w:rsid w:val="00FF6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950"/>
    <w:rPr>
      <w:rFonts w:ascii="Arial" w:hAnsi="Arial"/>
      <w:sz w:val="24"/>
      <w:lang w:eastAsia="en-US"/>
    </w:rPr>
  </w:style>
  <w:style w:type="paragraph" w:styleId="Heading1">
    <w:name w:val="heading 1"/>
    <w:basedOn w:val="Heading2"/>
    <w:next w:val="Normal"/>
    <w:qFormat/>
    <w:pPr>
      <w:outlineLvl w:val="0"/>
    </w:pPr>
    <w:rPr>
      <w:rFonts w:ascii="Arial Black" w:hAnsi="Arial Black"/>
      <w:b w:val="0"/>
      <w:sz w:val="32"/>
    </w:rPr>
  </w:style>
  <w:style w:type="paragraph" w:styleId="Heading2">
    <w:name w:val="heading 2"/>
    <w:aliases w:val="ND Heading 2,Proposal,Heading 2 Hidden"/>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pPr>
      <w:tabs>
        <w:tab w:val="center" w:pos="4153"/>
        <w:tab w:val="right" w:pos="8306"/>
      </w:tabs>
    </w:pPr>
  </w:style>
  <w:style w:type="paragraph" w:styleId="BodyText3">
    <w:name w:val="Body Text 3"/>
    <w:basedOn w:val="Normal"/>
    <w:pPr>
      <w:jc w:val="both"/>
    </w:pPr>
    <w:rPr>
      <w:rFonts w:cs="Arial"/>
      <w:szCs w:val="24"/>
    </w:rPr>
  </w:style>
  <w:style w:type="paragraph" w:styleId="BodyTextIndent">
    <w:name w:val="Body Text Indent"/>
    <w:basedOn w:val="Normal"/>
    <w:pPr>
      <w:ind w:left="289" w:hanging="5"/>
      <w:jc w:val="both"/>
    </w:pPr>
    <w:rPr>
      <w:rFonts w:cs="Arial"/>
      <w:szCs w:val="22"/>
    </w:rPr>
  </w:style>
  <w:style w:type="paragraph" w:customStyle="1" w:styleId="infotext0">
    <w:name w:val="infotext"/>
    <w:basedOn w:val="Normal"/>
    <w:pPr>
      <w:spacing w:before="100" w:beforeAutospacing="1" w:after="100" w:afterAutospacing="1"/>
    </w:pPr>
    <w:rPr>
      <w:rFonts w:ascii="Times New Roman" w:hAnsi="Times New Roman"/>
      <w:szCs w:val="24"/>
      <w:lang w:val="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pPr>
      <w:pBdr>
        <w:left w:val="single" w:sz="4" w:space="0" w:color="auto"/>
        <w:right w:val="single" w:sz="4" w:space="0" w:color="auto"/>
      </w:pBdr>
      <w:spacing w:before="100" w:beforeAutospacing="1" w:after="100" w:afterAutospacing="1"/>
    </w:pPr>
    <w:rPr>
      <w:rFonts w:eastAsia="Arial Unicode MS" w:cs="Arial"/>
      <w:szCs w:val="24"/>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character" w:styleId="Hyperlink">
    <w:name w:val="Hyperlink"/>
    <w:rPr>
      <w:rFonts w:ascii="Arial" w:hAnsi="Arial" w:cs="Arial"/>
      <w:color w:val="0000FF"/>
      <w:sz w:val="24"/>
      <w:u w:val="single"/>
      <w:lang w:val="en-GB" w:eastAsia="en-US" w:bidi="ar-SA"/>
    </w:rPr>
  </w:style>
  <w:style w:type="paragraph" w:styleId="BodyText2">
    <w:name w:val="Body Text 2"/>
    <w:basedOn w:val="Normal"/>
    <w:pPr>
      <w:spacing w:before="90"/>
      <w:jc w:val="both"/>
    </w:pPr>
    <w:rPr>
      <w:rFonts w:cs="Arial"/>
      <w:sz w:val="20"/>
      <w:szCs w:val="22"/>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num" w:pos="374"/>
      </w:tabs>
      <w:ind w:left="374" w:hanging="374"/>
      <w:jc w:val="both"/>
    </w:pPr>
    <w:rPr>
      <w:rFonts w:cs="Arial"/>
      <w:bCs/>
    </w:rPr>
  </w:style>
  <w:style w:type="character" w:styleId="CommentReference">
    <w:name w:val="annotation reference"/>
    <w:semiHidden/>
    <w:rPr>
      <w:rFonts w:ascii="Arial" w:hAnsi="Arial" w:cs="Arial"/>
      <w:sz w:val="16"/>
      <w:szCs w:val="16"/>
      <w:lang w:val="en-GB" w:eastAsia="en-US" w:bidi="ar-SA"/>
    </w:rPr>
  </w:style>
  <w:style w:type="paragraph" w:customStyle="1" w:styleId="xl32">
    <w:name w:val="xl32"/>
    <w:basedOn w:val="Normal"/>
    <w:pPr>
      <w:pBdr>
        <w:left w:val="single" w:sz="4" w:space="0" w:color="auto"/>
      </w:pBdr>
      <w:spacing w:before="100" w:beforeAutospacing="1" w:after="100" w:afterAutospacing="1"/>
    </w:pPr>
    <w:rPr>
      <w:rFonts w:eastAsia="Arial Unicode MS" w:cs="Arial"/>
      <w:szCs w:val="24"/>
    </w:rPr>
  </w:style>
  <w:style w:type="paragraph" w:styleId="BlockText">
    <w:name w:val="Block Text"/>
    <w:basedOn w:val="Normal"/>
    <w:pPr>
      <w:ind w:left="567" w:right="141" w:hanging="567"/>
      <w:jc w:val="both"/>
    </w:pPr>
  </w:style>
  <w:style w:type="paragraph" w:customStyle="1" w:styleId="bullet4">
    <w:name w:val="bullet4"/>
    <w:basedOn w:val="Normal"/>
    <w:pPr>
      <w:numPr>
        <w:numId w:val="1"/>
      </w:numPr>
    </w:pPr>
  </w:style>
  <w:style w:type="character" w:styleId="PageNumber">
    <w:name w:val="page number"/>
    <w:basedOn w:val="DefaultParagraphFont"/>
    <w:rPr>
      <w:rFonts w:ascii="Arial" w:hAnsi="Arial" w:cs="Arial"/>
      <w:sz w:val="24"/>
      <w:lang w:val="en-GB" w:eastAsia="en-US" w:bidi="ar-SA"/>
    </w:rPr>
  </w:style>
  <w:style w:type="paragraph" w:customStyle="1" w:styleId="CharChar1Char">
    <w:name w:val="Char Char1 Char"/>
    <w:basedOn w:val="Normal"/>
    <w:pPr>
      <w:spacing w:after="160" w:line="240" w:lineRule="exact"/>
    </w:pPr>
    <w:rPr>
      <w:rFonts w:ascii="Tahoma" w:hAnsi="Tahoma"/>
      <w:sz w:val="20"/>
      <w:lang w:eastAsia="en-GB"/>
    </w:rPr>
  </w:style>
  <w:style w:type="paragraph" w:customStyle="1" w:styleId="CharChar">
    <w:name w:val="Char Char"/>
    <w:basedOn w:val="Normal"/>
    <w:rPr>
      <w:rFonts w:cs="Arial"/>
    </w:rPr>
  </w:style>
  <w:style w:type="paragraph" w:customStyle="1" w:styleId="NormalArial">
    <w:name w:val="Normal + Arial"/>
    <w:basedOn w:val="Normal"/>
    <w:pPr>
      <w:adjustRightInd w:val="0"/>
    </w:pPr>
    <w:rPr>
      <w:rFonts w:cs="Arial"/>
      <w:szCs w:val="24"/>
      <w:lang w:eastAsia="en-GB"/>
    </w:rPr>
  </w:style>
  <w:style w:type="paragraph" w:customStyle="1" w:styleId="Style1">
    <w:name w:val="Style1"/>
    <w:basedOn w:val="Normal"/>
    <w:pPr>
      <w:numPr>
        <w:numId w:val="2"/>
      </w:numPr>
      <w:tabs>
        <w:tab w:val="clear" w:pos="786"/>
      </w:tabs>
      <w:spacing w:before="120" w:after="120"/>
      <w:ind w:left="364"/>
    </w:pPr>
    <w:rPr>
      <w:rFonts w:cs="Arial"/>
      <w:szCs w:val="24"/>
    </w:rPr>
  </w:style>
  <w:style w:type="character" w:customStyle="1" w:styleId="PlainTextChar">
    <w:name w:val="Plain Text Char"/>
    <w:link w:val="PlainText"/>
    <w:semiHidden/>
    <w:locked/>
    <w:rsid w:val="00464EC7"/>
    <w:rPr>
      <w:rFonts w:ascii="Arial" w:hAnsi="Arial" w:cs="Arial"/>
      <w:sz w:val="24"/>
      <w:szCs w:val="21"/>
      <w:lang w:val="en-GB" w:eastAsia="en-GB" w:bidi="ar-SA"/>
    </w:rPr>
  </w:style>
  <w:style w:type="paragraph" w:customStyle="1" w:styleId="font5">
    <w:name w:val="font5"/>
    <w:basedOn w:val="Normal"/>
    <w:pPr>
      <w:spacing w:before="100" w:beforeAutospacing="1" w:after="100" w:afterAutospacing="1"/>
    </w:pPr>
    <w:rPr>
      <w:rFonts w:eastAsia="Arial Unicode MS" w:cs="Arial"/>
      <w:sz w:val="16"/>
      <w:szCs w:val="16"/>
    </w:rPr>
  </w:style>
  <w:style w:type="paragraph" w:customStyle="1" w:styleId="font6">
    <w:name w:val="font6"/>
    <w:basedOn w:val="Normal"/>
    <w:pPr>
      <w:spacing w:before="100" w:beforeAutospacing="1" w:after="100" w:afterAutospacing="1"/>
    </w:pPr>
    <w:rPr>
      <w:rFonts w:eastAsia="Arial Unicode MS" w:cs="Arial"/>
      <w:b/>
      <w:bCs/>
      <w:sz w:val="16"/>
      <w:szCs w:val="16"/>
    </w:rPr>
  </w:style>
  <w:style w:type="paragraph" w:customStyle="1" w:styleId="xl73">
    <w:name w:val="xl73"/>
    <w:basedOn w:val="Normal"/>
    <w:pPr>
      <w:spacing w:before="100" w:beforeAutospacing="1" w:after="100" w:afterAutospacing="1"/>
    </w:pPr>
    <w:rPr>
      <w:rFonts w:eastAsia="Arial Unicode MS" w:cs="Arial"/>
      <w:sz w:val="16"/>
      <w:szCs w:val="16"/>
    </w:rPr>
  </w:style>
  <w:style w:type="paragraph" w:customStyle="1" w:styleId="xl74">
    <w:name w:val="xl7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sz w:val="16"/>
      <w:szCs w:val="16"/>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6">
    <w:name w:val="xl76"/>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sz w:val="16"/>
      <w:szCs w:val="16"/>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8">
    <w:name w:val="xl78"/>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79">
    <w:name w:val="xl7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81">
    <w:name w:val="xl8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83">
    <w:name w:val="xl83"/>
    <w:basedOn w:val="Normal"/>
    <w:pPr>
      <w:pBdr>
        <w:left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4">
    <w:name w:val="xl84"/>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5">
    <w:name w:val="xl85"/>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top"/>
    </w:pPr>
    <w:rPr>
      <w:rFonts w:eastAsia="Arial Unicode MS" w:cs="Arial"/>
      <w:b/>
      <w:bCs/>
      <w:sz w:val="16"/>
      <w:szCs w:val="16"/>
    </w:rPr>
  </w:style>
  <w:style w:type="paragraph" w:customStyle="1" w:styleId="xl86">
    <w:name w:val="xl8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87">
    <w:name w:val="xl87"/>
    <w:basedOn w:val="Normal"/>
    <w:pPr>
      <w:pBdr>
        <w:top w:val="single" w:sz="4" w:space="0" w:color="auto"/>
        <w:left w:val="single" w:sz="4" w:space="0" w:color="auto"/>
        <w:bottom w:val="single" w:sz="8" w:space="0" w:color="auto"/>
      </w:pBdr>
      <w:spacing w:before="100" w:beforeAutospacing="1" w:after="100" w:afterAutospacing="1"/>
      <w:jc w:val="right"/>
      <w:textAlignment w:val="top"/>
    </w:pPr>
    <w:rPr>
      <w:rFonts w:eastAsia="Arial Unicode MS" w:cs="Arial"/>
      <w:b/>
      <w:bCs/>
      <w:sz w:val="16"/>
      <w:szCs w:val="16"/>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89">
    <w:name w:val="xl89"/>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0">
    <w:name w:val="xl90"/>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1">
    <w:name w:val="xl9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92">
    <w:name w:val="xl92"/>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94">
    <w:name w:val="xl9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6">
    <w:name w:val="xl96"/>
    <w:basedOn w:val="Normal"/>
    <w:pPr>
      <w:spacing w:before="100" w:beforeAutospacing="1" w:after="100" w:afterAutospacing="1"/>
      <w:jc w:val="right"/>
    </w:pPr>
    <w:rPr>
      <w:rFonts w:eastAsia="Arial Unicode MS" w:cs="Arial"/>
      <w:sz w:val="16"/>
      <w:szCs w:val="16"/>
    </w:rPr>
  </w:style>
  <w:style w:type="paragraph" w:customStyle="1" w:styleId="xl97">
    <w:name w:val="xl97"/>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8">
    <w:name w:val="xl98"/>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9">
    <w:name w:val="xl9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100">
    <w:name w:val="xl100"/>
    <w:basedOn w:val="Normal"/>
    <w:pPr>
      <w:pBdr>
        <w:top w:val="single" w:sz="4" w:space="0" w:color="auto"/>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101">
    <w:name w:val="xl101"/>
    <w:basedOn w:val="Normal"/>
    <w:pPr>
      <w:pBdr>
        <w:left w:val="single" w:sz="8"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2">
    <w:name w:val="xl102"/>
    <w:basedOn w:val="Normal"/>
    <w:pPr>
      <w:pBdr>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103">
    <w:name w:val="xl103"/>
    <w:basedOn w:val="Normal"/>
    <w:pPr>
      <w:spacing w:before="100" w:beforeAutospacing="1" w:after="100" w:afterAutospacing="1"/>
      <w:jc w:val="right"/>
      <w:textAlignment w:val="top"/>
    </w:pPr>
    <w:rPr>
      <w:rFonts w:eastAsia="Arial Unicode MS" w:cs="Arial"/>
      <w:b/>
      <w:bCs/>
      <w:sz w:val="16"/>
      <w:szCs w:val="16"/>
    </w:rPr>
  </w:style>
  <w:style w:type="paragraph" w:customStyle="1" w:styleId="xl104">
    <w:name w:val="xl104"/>
    <w:basedOn w:val="Normal"/>
    <w:pPr>
      <w:spacing w:before="100" w:beforeAutospacing="1" w:after="100" w:afterAutospacing="1"/>
      <w:jc w:val="both"/>
      <w:textAlignment w:val="top"/>
    </w:pPr>
    <w:rPr>
      <w:rFonts w:eastAsia="Arial Unicode MS" w:cs="Arial"/>
      <w:b/>
      <w:bCs/>
      <w:sz w:val="16"/>
      <w:szCs w:val="16"/>
    </w:rPr>
  </w:style>
  <w:style w:type="paragraph" w:customStyle="1" w:styleId="xl105">
    <w:name w:val="xl105"/>
    <w:basedOn w:val="Normal"/>
    <w:pPr>
      <w:pBdr>
        <w:left w:val="single" w:sz="8" w:space="0" w:color="auto"/>
        <w:right w:val="single" w:sz="8" w:space="0" w:color="auto"/>
      </w:pBdr>
      <w:spacing w:before="100" w:beforeAutospacing="1" w:after="100" w:afterAutospacing="1"/>
      <w:textAlignment w:val="top"/>
    </w:pPr>
    <w:rPr>
      <w:rFonts w:eastAsia="Arial Unicode MS" w:cs="Arial"/>
      <w:b/>
      <w:bCs/>
      <w:sz w:val="16"/>
      <w:szCs w:val="16"/>
    </w:rPr>
  </w:style>
  <w:style w:type="paragraph" w:customStyle="1" w:styleId="xl106">
    <w:name w:val="xl106"/>
    <w:basedOn w:val="Normal"/>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7">
    <w:name w:val="xl107"/>
    <w:basedOn w:val="Normal"/>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8">
    <w:name w:val="xl108"/>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09">
    <w:name w:val="xl109"/>
    <w:basedOn w:val="Normal"/>
    <w:pPr>
      <w:pBdr>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1">
    <w:name w:val="xl111"/>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2">
    <w:name w:val="xl112"/>
    <w:basedOn w:val="Normal"/>
    <w:pPr>
      <w:pBdr>
        <w:top w:val="single" w:sz="4" w:space="0" w:color="auto"/>
        <w:left w:val="single" w:sz="4" w:space="0" w:color="auto"/>
        <w:bottom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font7">
    <w:name w:val="font7"/>
    <w:basedOn w:val="Normal"/>
    <w:pPr>
      <w:spacing w:before="100" w:beforeAutospacing="1" w:after="100" w:afterAutospacing="1"/>
    </w:pPr>
    <w:rPr>
      <w:rFonts w:eastAsia="Arial Unicode MS" w:cs="Arial"/>
      <w:sz w:val="16"/>
      <w:szCs w:val="16"/>
    </w:rPr>
  </w:style>
  <w:style w:type="paragraph" w:customStyle="1" w:styleId="xl24">
    <w:name w:val="xl24"/>
    <w:basedOn w:val="Normal"/>
    <w:pPr>
      <w:spacing w:before="100" w:beforeAutospacing="1" w:after="100" w:afterAutospacing="1"/>
      <w:textAlignment w:val="top"/>
    </w:pPr>
    <w:rPr>
      <w:rFonts w:eastAsia="Arial Unicode MS" w:cs="Arial"/>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37">
    <w:name w:val="xl37"/>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8">
    <w:name w:val="xl38"/>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0">
    <w:name w:val="xl40"/>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1">
    <w:name w:val="xl41"/>
    <w:basedOn w:val="Normal"/>
    <w:pPr>
      <w:spacing w:before="100" w:beforeAutospacing="1" w:after="100" w:afterAutospacing="1"/>
      <w:jc w:val="center"/>
      <w:textAlignment w:val="top"/>
    </w:pPr>
    <w:rPr>
      <w:rFonts w:eastAsia="Arial Unicode MS" w:cs="Arial"/>
      <w:szCs w:val="24"/>
    </w:rPr>
  </w:style>
  <w:style w:type="paragraph" w:customStyle="1" w:styleId="xl42">
    <w:name w:val="xl4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49">
    <w:name w:val="xl49"/>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0">
    <w:name w:val="xl50"/>
    <w:basedOn w:val="Normal"/>
    <w:pPr>
      <w:pBdr>
        <w:top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51">
    <w:name w:val="xl51"/>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4">
    <w:name w:val="xl54"/>
    <w:basedOn w:val="Normal"/>
    <w:pPr>
      <w:pBdr>
        <w:left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5">
    <w:name w:val="xl55"/>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rFonts w:eastAsia="Arial Unicode MS" w:cs="Arial"/>
      <w:b/>
      <w:bCs/>
      <w:szCs w:val="24"/>
    </w:rPr>
  </w:style>
  <w:style w:type="paragraph" w:customStyle="1" w:styleId="xl58">
    <w:name w:val="xl58"/>
    <w:basedOn w:val="Normal"/>
    <w:pPr>
      <w:spacing w:before="100" w:beforeAutospacing="1" w:after="100" w:afterAutospacing="1"/>
      <w:jc w:val="center"/>
      <w:textAlignment w:val="top"/>
    </w:pPr>
    <w:rPr>
      <w:rFonts w:eastAsia="Arial Unicode MS" w:cs="Arial"/>
      <w:b/>
      <w:bCs/>
      <w:szCs w:val="24"/>
    </w:rPr>
  </w:style>
  <w:style w:type="paragraph" w:customStyle="1" w:styleId="xl59">
    <w:name w:val="xl59"/>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1">
    <w:name w:val="xl61"/>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7">
    <w:name w:val="xl67"/>
    <w:basedOn w:val="Normal"/>
    <w:pPr>
      <w:spacing w:before="100" w:beforeAutospacing="1" w:after="100" w:afterAutospacing="1"/>
      <w:jc w:val="center"/>
    </w:pPr>
    <w:rPr>
      <w:rFonts w:eastAsia="Arial Unicode MS" w:cs="Arial"/>
      <w:b/>
      <w:bCs/>
      <w:szCs w:val="24"/>
    </w:rPr>
  </w:style>
  <w:style w:type="paragraph" w:customStyle="1" w:styleId="xl68">
    <w:name w:val="xl68"/>
    <w:basedOn w:val="Normal"/>
    <w:pPr>
      <w:pBdr>
        <w:top w:val="single" w:sz="4" w:space="0" w:color="auto"/>
        <w:left w:val="single" w:sz="4" w:space="0" w:color="auto"/>
      </w:pBdr>
      <w:spacing w:before="100" w:beforeAutospacing="1" w:after="100" w:afterAutospacing="1"/>
    </w:pPr>
    <w:rPr>
      <w:rFonts w:eastAsia="Arial Unicode MS" w:cs="Arial"/>
      <w:b/>
      <w:bCs/>
      <w:sz w:val="32"/>
      <w:szCs w:val="32"/>
    </w:rPr>
  </w:style>
  <w:style w:type="paragraph" w:customStyle="1" w:styleId="xl69">
    <w:name w:val="xl69"/>
    <w:basedOn w:val="Normal"/>
    <w:pPr>
      <w:pBdr>
        <w:top w:val="single" w:sz="4" w:space="0" w:color="auto"/>
      </w:pBdr>
      <w:spacing w:before="100" w:beforeAutospacing="1" w:after="100" w:afterAutospacing="1"/>
      <w:jc w:val="center"/>
    </w:pPr>
    <w:rPr>
      <w:rFonts w:eastAsia="Arial Unicode MS" w:cs="Arial"/>
      <w:b/>
      <w:bCs/>
      <w:szCs w:val="24"/>
    </w:rPr>
  </w:style>
  <w:style w:type="paragraph" w:customStyle="1" w:styleId="xl70">
    <w:name w:val="xl70"/>
    <w:basedOn w:val="Normal"/>
    <w:pPr>
      <w:pBdr>
        <w:left w:val="single" w:sz="4" w:space="0" w:color="auto"/>
      </w:pBdr>
      <w:spacing w:before="100" w:beforeAutospacing="1" w:after="100" w:afterAutospacing="1"/>
      <w:jc w:val="center"/>
      <w:textAlignment w:val="center"/>
    </w:pPr>
    <w:rPr>
      <w:rFonts w:eastAsia="Arial Unicode MS" w:cs="Arial"/>
      <w:b/>
      <w:bCs/>
      <w:sz w:val="28"/>
      <w:szCs w:val="28"/>
    </w:rPr>
  </w:style>
  <w:style w:type="paragraph" w:customStyle="1" w:styleId="xl71">
    <w:name w:val="xl71"/>
    <w:basedOn w:val="Normal"/>
    <w:pPr>
      <w:spacing w:before="100" w:beforeAutospacing="1" w:after="100" w:afterAutospacing="1"/>
      <w:jc w:val="center"/>
      <w:textAlignment w:val="top"/>
    </w:pPr>
    <w:rPr>
      <w:rFonts w:eastAsia="Arial Unicode MS" w:cs="Arial"/>
      <w:b/>
      <w:bCs/>
      <w:szCs w:val="24"/>
    </w:rPr>
  </w:style>
  <w:style w:type="paragraph" w:customStyle="1" w:styleId="xl72">
    <w:name w:val="xl72"/>
    <w:basedOn w:val="Normal"/>
    <w:pPr>
      <w:spacing w:before="100" w:beforeAutospacing="1" w:after="100" w:afterAutospacing="1"/>
      <w:jc w:val="center"/>
    </w:pPr>
    <w:rPr>
      <w:rFonts w:eastAsia="Arial Unicode MS" w:cs="Arial"/>
      <w:szCs w:val="24"/>
    </w:rPr>
  </w:style>
  <w:style w:type="paragraph" w:customStyle="1" w:styleId="xl62">
    <w:name w:val="xl62"/>
    <w:basedOn w:val="Normal"/>
    <w:pPr>
      <w:spacing w:before="100" w:beforeAutospacing="1" w:after="100" w:afterAutospacing="1"/>
      <w:jc w:val="center"/>
      <w:textAlignment w:val="top"/>
    </w:pPr>
    <w:rPr>
      <w:rFonts w:eastAsia="Arial Unicode MS" w:cs="Arial"/>
      <w:b/>
      <w:bCs/>
      <w:szCs w:val="24"/>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4">
    <w:name w:val="xl64"/>
    <w:basedOn w:val="Normal"/>
    <w:pPr>
      <w:spacing w:before="100" w:beforeAutospacing="1" w:after="100" w:afterAutospacing="1"/>
      <w:jc w:val="center"/>
      <w:textAlignment w:val="top"/>
    </w:pPr>
    <w:rPr>
      <w:rFonts w:eastAsia="Arial Unicode MS" w:cs="Arial"/>
      <w:szCs w:val="24"/>
    </w:rPr>
  </w:style>
  <w:style w:type="paragraph" w:customStyle="1" w:styleId="xl65">
    <w:name w:val="xl65"/>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6">
    <w:name w:val="xl66"/>
    <w:basedOn w:val="Normal"/>
    <w:pPr>
      <w:pBdr>
        <w:left w:val="single" w:sz="4" w:space="0" w:color="auto"/>
        <w:right w:val="single" w:sz="4" w:space="0" w:color="auto"/>
      </w:pBdr>
      <w:spacing w:before="100" w:beforeAutospacing="1" w:after="100" w:afterAutospacing="1"/>
      <w:textAlignment w:val="top"/>
    </w:pPr>
    <w:rPr>
      <w:rFonts w:eastAsia="Arial Unicode MS" w:cs="Arial"/>
      <w:b/>
      <w:bCs/>
      <w:szCs w:val="24"/>
    </w:rPr>
  </w:style>
  <w:style w:type="character" w:styleId="FollowedHyperlink">
    <w:name w:val="FollowedHyperlink"/>
    <w:rPr>
      <w:rFonts w:ascii="Arial" w:hAnsi="Arial" w:cs="Arial"/>
      <w:color w:val="800080"/>
      <w:sz w:val="24"/>
      <w:u w:val="single"/>
      <w:lang w:val="en-GB" w:eastAsia="en-US" w:bidi="ar-SA"/>
    </w:rPr>
  </w:style>
  <w:style w:type="character" w:customStyle="1" w:styleId="WW8Num5z0">
    <w:name w:val="WW8Num5z0"/>
    <w:rPr>
      <w:rFonts w:ascii="Wingdings" w:hAnsi="Wingdings"/>
    </w:rPr>
  </w:style>
  <w:style w:type="character" w:customStyle="1" w:styleId="WW8Num4z0">
    <w:name w:val="WW8Num4z0"/>
    <w:rPr>
      <w:rFonts w:ascii="Symbol" w:hAnsi="Symbol"/>
    </w:rPr>
  </w:style>
  <w:style w:type="paragraph" w:styleId="List">
    <w:name w:val="List"/>
    <w:basedOn w:val="BodyText"/>
    <w:pPr>
      <w:suppressAutoHyphens/>
      <w:spacing w:after="120"/>
    </w:pPr>
    <w:rPr>
      <w:rFonts w:cs="Tahoma"/>
      <w:i w:val="0"/>
      <w:iCs w:val="0"/>
      <w:lang w:eastAsia="ar-SA"/>
    </w:rPr>
  </w:style>
  <w:style w:type="paragraph" w:styleId="Title">
    <w:name w:val="Title"/>
    <w:basedOn w:val="Normal"/>
    <w:qFormat/>
    <w:pPr>
      <w:suppressAutoHyphens/>
      <w:jc w:val="center"/>
    </w:pPr>
    <w:rPr>
      <w:rFonts w:cs="Arial"/>
      <w:b/>
      <w:sz w:val="28"/>
      <w:szCs w:val="28"/>
      <w:u w:val="single"/>
      <w:lang w:eastAsia="ar-SA"/>
    </w:rPr>
  </w:style>
  <w:style w:type="character" w:customStyle="1" w:styleId="WW8Num1z0">
    <w:name w:val="WW8Num1z0"/>
    <w:rPr>
      <w:rFonts w:ascii="Symbol" w:hAnsi="Symbol"/>
    </w:rPr>
  </w:style>
  <w:style w:type="paragraph" w:styleId="PlainText">
    <w:name w:val="Plain Text"/>
    <w:basedOn w:val="Normal"/>
    <w:link w:val="PlainTextChar"/>
    <w:semiHidden/>
    <w:rsid w:val="00464EC7"/>
    <w:rPr>
      <w:sz w:val="20"/>
      <w:szCs w:val="21"/>
      <w:lang w:eastAsia="en-GB"/>
    </w:rPr>
  </w:style>
  <w:style w:type="table" w:styleId="TableGrid">
    <w:name w:val="Table Grid"/>
    <w:basedOn w:val="TableNormal"/>
    <w:rsid w:val="00B40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C7E13"/>
    <w:rPr>
      <w:rFonts w:ascii="Arial" w:hAnsi="Arial"/>
      <w:sz w:val="24"/>
      <w:lang w:val="en-GB" w:eastAsia="en-US" w:bidi="ar-SA"/>
    </w:rPr>
  </w:style>
  <w:style w:type="paragraph" w:customStyle="1" w:styleId="1">
    <w:name w:val="1"/>
    <w:basedOn w:val="Normal"/>
    <w:locked/>
    <w:rsid w:val="00ED55EF"/>
    <w:pPr>
      <w:spacing w:after="160" w:line="240" w:lineRule="exact"/>
    </w:pPr>
    <w:rPr>
      <w:rFonts w:cs="Arial"/>
    </w:rPr>
  </w:style>
  <w:style w:type="paragraph" w:customStyle="1" w:styleId="CharCharCharChar2">
    <w:name w:val="Char Char Char Char2"/>
    <w:basedOn w:val="Normal"/>
    <w:locked/>
    <w:rsid w:val="000A55D4"/>
    <w:pPr>
      <w:spacing w:after="160" w:line="240" w:lineRule="exact"/>
    </w:pPr>
    <w:rPr>
      <w:rFonts w:ascii="Verdana" w:eastAsia="MS ??" w:hAnsi="Verdana" w:cs="Verdana"/>
      <w:sz w:val="20"/>
      <w:lang w:val="en-US"/>
    </w:rPr>
  </w:style>
  <w:style w:type="character" w:customStyle="1" w:styleId="CommentTextChar">
    <w:name w:val="Comment Text Char"/>
    <w:link w:val="CommentText"/>
    <w:uiPriority w:val="99"/>
    <w:semiHidden/>
    <w:rsid w:val="00033CFC"/>
    <w:rPr>
      <w:rFonts w:ascii="Arial" w:hAnsi="Arial"/>
      <w:lang w:eastAsia="en-US"/>
    </w:rPr>
  </w:style>
  <w:style w:type="paragraph" w:styleId="ListParagraph">
    <w:name w:val="List Paragraph"/>
    <w:basedOn w:val="Normal"/>
    <w:uiPriority w:val="34"/>
    <w:qFormat/>
    <w:rsid w:val="009870D0"/>
    <w:pPr>
      <w:ind w:left="720"/>
      <w:contextualSpacing/>
    </w:pPr>
  </w:style>
  <w:style w:type="paragraph" w:customStyle="1" w:styleId="CharCharCharChar">
    <w:name w:val="Char Char Char Char"/>
    <w:basedOn w:val="Normal"/>
    <w:locked/>
    <w:rsid w:val="00AC7BFC"/>
    <w:pPr>
      <w:spacing w:after="160" w:line="240" w:lineRule="exact"/>
    </w:pPr>
    <w:rPr>
      <w:rFonts w:ascii="Verdana" w:hAnsi="Verdana"/>
      <w:sz w:val="20"/>
      <w:lang w:val="en-US"/>
    </w:rPr>
  </w:style>
  <w:style w:type="paragraph" w:styleId="Revision">
    <w:name w:val="Revision"/>
    <w:hidden/>
    <w:uiPriority w:val="99"/>
    <w:semiHidden/>
    <w:rsid w:val="00554CAB"/>
    <w:rPr>
      <w:rFonts w:ascii="Arial" w:hAnsi="Arial"/>
      <w:sz w:val="24"/>
      <w:lang w:eastAsia="en-US"/>
    </w:rPr>
  </w:style>
  <w:style w:type="paragraph" w:customStyle="1" w:styleId="CharCharCharChar3">
    <w:name w:val="Char Char Char Char3"/>
    <w:basedOn w:val="Normal"/>
    <w:locked/>
    <w:rsid w:val="00484862"/>
    <w:pPr>
      <w:spacing w:after="160" w:line="240" w:lineRule="exact"/>
    </w:pPr>
    <w:rPr>
      <w:rFonts w:ascii="Verdana" w:hAnsi="Verdana"/>
      <w:sz w:val="20"/>
      <w:lang w:val="en-US"/>
    </w:rPr>
  </w:style>
  <w:style w:type="paragraph" w:customStyle="1" w:styleId="CharCharCharChar1">
    <w:name w:val="Char Char Char Char1"/>
    <w:basedOn w:val="Normal"/>
    <w:locked/>
    <w:rsid w:val="00591F00"/>
    <w:pPr>
      <w:spacing w:after="160" w:line="240" w:lineRule="exact"/>
    </w:pPr>
    <w:rPr>
      <w:rFonts w:ascii="Verdana" w:hAnsi="Verdana"/>
      <w:sz w:val="20"/>
      <w:lang w:val="en-US"/>
    </w:rPr>
  </w:style>
  <w:style w:type="character" w:styleId="LineNumber">
    <w:name w:val="line number"/>
    <w:basedOn w:val="DefaultParagraphFont"/>
    <w:rsid w:val="00D267E9"/>
  </w:style>
  <w:style w:type="numbering" w:customStyle="1" w:styleId="Style2">
    <w:name w:val="Style2"/>
    <w:uiPriority w:val="99"/>
    <w:rsid w:val="00B63933"/>
    <w:pPr>
      <w:numPr>
        <w:numId w:val="105"/>
      </w:numPr>
    </w:pPr>
  </w:style>
  <w:style w:type="table" w:customStyle="1" w:styleId="TableGrid1">
    <w:name w:val="Table Grid1"/>
    <w:basedOn w:val="TableNormal"/>
    <w:next w:val="TableGrid"/>
    <w:uiPriority w:val="59"/>
    <w:rsid w:val="00FD1CF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11D90"/>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950"/>
    <w:rPr>
      <w:rFonts w:ascii="Arial" w:hAnsi="Arial"/>
      <w:sz w:val="24"/>
      <w:lang w:eastAsia="en-US"/>
    </w:rPr>
  </w:style>
  <w:style w:type="paragraph" w:styleId="Heading1">
    <w:name w:val="heading 1"/>
    <w:basedOn w:val="Heading2"/>
    <w:next w:val="Normal"/>
    <w:qFormat/>
    <w:pPr>
      <w:outlineLvl w:val="0"/>
    </w:pPr>
    <w:rPr>
      <w:rFonts w:ascii="Arial Black" w:hAnsi="Arial Black"/>
      <w:b w:val="0"/>
      <w:sz w:val="32"/>
    </w:rPr>
  </w:style>
  <w:style w:type="paragraph" w:styleId="Heading2">
    <w:name w:val="heading 2"/>
    <w:aliases w:val="ND Heading 2,Proposal,Heading 2 Hidden"/>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pPr>
      <w:tabs>
        <w:tab w:val="center" w:pos="4153"/>
        <w:tab w:val="right" w:pos="8306"/>
      </w:tabs>
    </w:pPr>
  </w:style>
  <w:style w:type="paragraph" w:styleId="BodyText3">
    <w:name w:val="Body Text 3"/>
    <w:basedOn w:val="Normal"/>
    <w:pPr>
      <w:jc w:val="both"/>
    </w:pPr>
    <w:rPr>
      <w:rFonts w:cs="Arial"/>
      <w:szCs w:val="24"/>
    </w:rPr>
  </w:style>
  <w:style w:type="paragraph" w:styleId="BodyTextIndent">
    <w:name w:val="Body Text Indent"/>
    <w:basedOn w:val="Normal"/>
    <w:pPr>
      <w:ind w:left="289" w:hanging="5"/>
      <w:jc w:val="both"/>
    </w:pPr>
    <w:rPr>
      <w:rFonts w:cs="Arial"/>
      <w:szCs w:val="22"/>
    </w:rPr>
  </w:style>
  <w:style w:type="paragraph" w:customStyle="1" w:styleId="infotext0">
    <w:name w:val="infotext"/>
    <w:basedOn w:val="Normal"/>
    <w:pPr>
      <w:spacing w:before="100" w:beforeAutospacing="1" w:after="100" w:afterAutospacing="1"/>
    </w:pPr>
    <w:rPr>
      <w:rFonts w:ascii="Times New Roman" w:hAnsi="Times New Roman"/>
      <w:szCs w:val="24"/>
      <w:lang w:val="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pPr>
      <w:pBdr>
        <w:left w:val="single" w:sz="4" w:space="0" w:color="auto"/>
        <w:right w:val="single" w:sz="4" w:space="0" w:color="auto"/>
      </w:pBdr>
      <w:spacing w:before="100" w:beforeAutospacing="1" w:after="100" w:afterAutospacing="1"/>
    </w:pPr>
    <w:rPr>
      <w:rFonts w:eastAsia="Arial Unicode MS" w:cs="Arial"/>
      <w:szCs w:val="24"/>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character" w:styleId="Hyperlink">
    <w:name w:val="Hyperlink"/>
    <w:rPr>
      <w:rFonts w:ascii="Arial" w:hAnsi="Arial" w:cs="Arial"/>
      <w:color w:val="0000FF"/>
      <w:sz w:val="24"/>
      <w:u w:val="single"/>
      <w:lang w:val="en-GB" w:eastAsia="en-US" w:bidi="ar-SA"/>
    </w:rPr>
  </w:style>
  <w:style w:type="paragraph" w:styleId="BodyText2">
    <w:name w:val="Body Text 2"/>
    <w:basedOn w:val="Normal"/>
    <w:pPr>
      <w:spacing w:before="90"/>
      <w:jc w:val="both"/>
    </w:pPr>
    <w:rPr>
      <w:rFonts w:cs="Arial"/>
      <w:sz w:val="20"/>
      <w:szCs w:val="22"/>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num" w:pos="374"/>
      </w:tabs>
      <w:ind w:left="374" w:hanging="374"/>
      <w:jc w:val="both"/>
    </w:pPr>
    <w:rPr>
      <w:rFonts w:cs="Arial"/>
      <w:bCs/>
    </w:rPr>
  </w:style>
  <w:style w:type="character" w:styleId="CommentReference">
    <w:name w:val="annotation reference"/>
    <w:semiHidden/>
    <w:rPr>
      <w:rFonts w:ascii="Arial" w:hAnsi="Arial" w:cs="Arial"/>
      <w:sz w:val="16"/>
      <w:szCs w:val="16"/>
      <w:lang w:val="en-GB" w:eastAsia="en-US" w:bidi="ar-SA"/>
    </w:rPr>
  </w:style>
  <w:style w:type="paragraph" w:customStyle="1" w:styleId="xl32">
    <w:name w:val="xl32"/>
    <w:basedOn w:val="Normal"/>
    <w:pPr>
      <w:pBdr>
        <w:left w:val="single" w:sz="4" w:space="0" w:color="auto"/>
      </w:pBdr>
      <w:spacing w:before="100" w:beforeAutospacing="1" w:after="100" w:afterAutospacing="1"/>
    </w:pPr>
    <w:rPr>
      <w:rFonts w:eastAsia="Arial Unicode MS" w:cs="Arial"/>
      <w:szCs w:val="24"/>
    </w:rPr>
  </w:style>
  <w:style w:type="paragraph" w:styleId="BlockText">
    <w:name w:val="Block Text"/>
    <w:basedOn w:val="Normal"/>
    <w:pPr>
      <w:ind w:left="567" w:right="141" w:hanging="567"/>
      <w:jc w:val="both"/>
    </w:pPr>
  </w:style>
  <w:style w:type="paragraph" w:customStyle="1" w:styleId="bullet4">
    <w:name w:val="bullet4"/>
    <w:basedOn w:val="Normal"/>
    <w:pPr>
      <w:numPr>
        <w:numId w:val="1"/>
      </w:numPr>
    </w:pPr>
  </w:style>
  <w:style w:type="character" w:styleId="PageNumber">
    <w:name w:val="page number"/>
    <w:basedOn w:val="DefaultParagraphFont"/>
    <w:rPr>
      <w:rFonts w:ascii="Arial" w:hAnsi="Arial" w:cs="Arial"/>
      <w:sz w:val="24"/>
      <w:lang w:val="en-GB" w:eastAsia="en-US" w:bidi="ar-SA"/>
    </w:rPr>
  </w:style>
  <w:style w:type="paragraph" w:customStyle="1" w:styleId="CharChar1Char">
    <w:name w:val="Char Char1 Char"/>
    <w:basedOn w:val="Normal"/>
    <w:pPr>
      <w:spacing w:after="160" w:line="240" w:lineRule="exact"/>
    </w:pPr>
    <w:rPr>
      <w:rFonts w:ascii="Tahoma" w:hAnsi="Tahoma"/>
      <w:sz w:val="20"/>
      <w:lang w:eastAsia="en-GB"/>
    </w:rPr>
  </w:style>
  <w:style w:type="paragraph" w:customStyle="1" w:styleId="CharChar">
    <w:name w:val="Char Char"/>
    <w:basedOn w:val="Normal"/>
    <w:rPr>
      <w:rFonts w:cs="Arial"/>
    </w:rPr>
  </w:style>
  <w:style w:type="paragraph" w:customStyle="1" w:styleId="NormalArial">
    <w:name w:val="Normal + Arial"/>
    <w:basedOn w:val="Normal"/>
    <w:pPr>
      <w:adjustRightInd w:val="0"/>
    </w:pPr>
    <w:rPr>
      <w:rFonts w:cs="Arial"/>
      <w:szCs w:val="24"/>
      <w:lang w:eastAsia="en-GB"/>
    </w:rPr>
  </w:style>
  <w:style w:type="paragraph" w:customStyle="1" w:styleId="Style1">
    <w:name w:val="Style1"/>
    <w:basedOn w:val="Normal"/>
    <w:pPr>
      <w:numPr>
        <w:numId w:val="2"/>
      </w:numPr>
      <w:tabs>
        <w:tab w:val="clear" w:pos="786"/>
      </w:tabs>
      <w:spacing w:before="120" w:after="120"/>
      <w:ind w:left="364"/>
    </w:pPr>
    <w:rPr>
      <w:rFonts w:cs="Arial"/>
      <w:szCs w:val="24"/>
    </w:rPr>
  </w:style>
  <w:style w:type="character" w:customStyle="1" w:styleId="PlainTextChar">
    <w:name w:val="Plain Text Char"/>
    <w:link w:val="PlainText"/>
    <w:semiHidden/>
    <w:locked/>
    <w:rsid w:val="00464EC7"/>
    <w:rPr>
      <w:rFonts w:ascii="Arial" w:hAnsi="Arial" w:cs="Arial"/>
      <w:sz w:val="24"/>
      <w:szCs w:val="21"/>
      <w:lang w:val="en-GB" w:eastAsia="en-GB" w:bidi="ar-SA"/>
    </w:rPr>
  </w:style>
  <w:style w:type="paragraph" w:customStyle="1" w:styleId="font5">
    <w:name w:val="font5"/>
    <w:basedOn w:val="Normal"/>
    <w:pPr>
      <w:spacing w:before="100" w:beforeAutospacing="1" w:after="100" w:afterAutospacing="1"/>
    </w:pPr>
    <w:rPr>
      <w:rFonts w:eastAsia="Arial Unicode MS" w:cs="Arial"/>
      <w:sz w:val="16"/>
      <w:szCs w:val="16"/>
    </w:rPr>
  </w:style>
  <w:style w:type="paragraph" w:customStyle="1" w:styleId="font6">
    <w:name w:val="font6"/>
    <w:basedOn w:val="Normal"/>
    <w:pPr>
      <w:spacing w:before="100" w:beforeAutospacing="1" w:after="100" w:afterAutospacing="1"/>
    </w:pPr>
    <w:rPr>
      <w:rFonts w:eastAsia="Arial Unicode MS" w:cs="Arial"/>
      <w:b/>
      <w:bCs/>
      <w:sz w:val="16"/>
      <w:szCs w:val="16"/>
    </w:rPr>
  </w:style>
  <w:style w:type="paragraph" w:customStyle="1" w:styleId="xl73">
    <w:name w:val="xl73"/>
    <w:basedOn w:val="Normal"/>
    <w:pPr>
      <w:spacing w:before="100" w:beforeAutospacing="1" w:after="100" w:afterAutospacing="1"/>
    </w:pPr>
    <w:rPr>
      <w:rFonts w:eastAsia="Arial Unicode MS" w:cs="Arial"/>
      <w:sz w:val="16"/>
      <w:szCs w:val="16"/>
    </w:rPr>
  </w:style>
  <w:style w:type="paragraph" w:customStyle="1" w:styleId="xl74">
    <w:name w:val="xl7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sz w:val="16"/>
      <w:szCs w:val="16"/>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6">
    <w:name w:val="xl76"/>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sz w:val="16"/>
      <w:szCs w:val="16"/>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78">
    <w:name w:val="xl78"/>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79">
    <w:name w:val="xl7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81">
    <w:name w:val="xl8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83">
    <w:name w:val="xl83"/>
    <w:basedOn w:val="Normal"/>
    <w:pPr>
      <w:pBdr>
        <w:left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84">
    <w:name w:val="xl84"/>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85">
    <w:name w:val="xl85"/>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top"/>
    </w:pPr>
    <w:rPr>
      <w:rFonts w:eastAsia="Arial Unicode MS" w:cs="Arial"/>
      <w:b/>
      <w:bCs/>
      <w:sz w:val="16"/>
      <w:szCs w:val="16"/>
    </w:rPr>
  </w:style>
  <w:style w:type="paragraph" w:customStyle="1" w:styleId="xl86">
    <w:name w:val="xl8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87">
    <w:name w:val="xl87"/>
    <w:basedOn w:val="Normal"/>
    <w:pPr>
      <w:pBdr>
        <w:top w:val="single" w:sz="4" w:space="0" w:color="auto"/>
        <w:left w:val="single" w:sz="4" w:space="0" w:color="auto"/>
        <w:bottom w:val="single" w:sz="8" w:space="0" w:color="auto"/>
      </w:pBdr>
      <w:spacing w:before="100" w:beforeAutospacing="1" w:after="100" w:afterAutospacing="1"/>
      <w:jc w:val="right"/>
      <w:textAlignment w:val="top"/>
    </w:pPr>
    <w:rPr>
      <w:rFonts w:eastAsia="Arial Unicode MS" w:cs="Arial"/>
      <w:b/>
      <w:bCs/>
      <w:sz w:val="16"/>
      <w:szCs w:val="16"/>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89">
    <w:name w:val="xl89"/>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0">
    <w:name w:val="xl90"/>
    <w:basedOn w:val="Normal"/>
    <w:pPr>
      <w:pBdr>
        <w:left w:val="single" w:sz="4" w:space="0" w:color="auto"/>
        <w:bottom w:val="single" w:sz="4" w:space="0" w:color="auto"/>
      </w:pBdr>
      <w:spacing w:before="100" w:beforeAutospacing="1" w:after="100" w:afterAutospacing="1"/>
      <w:textAlignment w:val="top"/>
    </w:pPr>
    <w:rPr>
      <w:rFonts w:eastAsia="Arial Unicode MS" w:cs="Arial"/>
      <w:sz w:val="16"/>
      <w:szCs w:val="16"/>
    </w:rPr>
  </w:style>
  <w:style w:type="paragraph" w:customStyle="1" w:styleId="xl91">
    <w:name w:val="xl91"/>
    <w:basedOn w:val="Normal"/>
    <w:pPr>
      <w:pBdr>
        <w:left w:val="single" w:sz="4" w:space="0" w:color="auto"/>
        <w:bottom w:val="single" w:sz="4" w:space="0" w:color="auto"/>
      </w:pBdr>
      <w:spacing w:before="100" w:beforeAutospacing="1" w:after="100" w:afterAutospacing="1"/>
      <w:jc w:val="both"/>
      <w:textAlignment w:val="top"/>
    </w:pPr>
    <w:rPr>
      <w:rFonts w:eastAsia="Arial Unicode MS" w:cs="Arial"/>
      <w:b/>
      <w:bCs/>
      <w:sz w:val="16"/>
      <w:szCs w:val="16"/>
    </w:rPr>
  </w:style>
  <w:style w:type="paragraph" w:customStyle="1" w:styleId="xl92">
    <w:name w:val="xl92"/>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cs="Arial"/>
      <w:sz w:val="16"/>
      <w:szCs w:val="16"/>
    </w:rPr>
  </w:style>
  <w:style w:type="paragraph" w:customStyle="1" w:styleId="xl94">
    <w:name w:val="xl94"/>
    <w:basedOn w:val="Normal"/>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eastAsia="Arial Unicode MS" w:cs="Arial"/>
      <w:b/>
      <w:bCs/>
      <w:sz w:val="16"/>
      <w:szCs w:val="16"/>
    </w:rPr>
  </w:style>
  <w:style w:type="paragraph" w:customStyle="1" w:styleId="xl96">
    <w:name w:val="xl96"/>
    <w:basedOn w:val="Normal"/>
    <w:pPr>
      <w:spacing w:before="100" w:beforeAutospacing="1" w:after="100" w:afterAutospacing="1"/>
      <w:jc w:val="right"/>
    </w:pPr>
    <w:rPr>
      <w:rFonts w:eastAsia="Arial Unicode MS" w:cs="Arial"/>
      <w:sz w:val="16"/>
      <w:szCs w:val="16"/>
    </w:rPr>
  </w:style>
  <w:style w:type="paragraph" w:customStyle="1" w:styleId="xl97">
    <w:name w:val="xl97"/>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8">
    <w:name w:val="xl98"/>
    <w:basedOn w:val="Normal"/>
    <w:pPr>
      <w:pBdr>
        <w:left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99">
    <w:name w:val="xl99"/>
    <w:basedOn w:val="Normal"/>
    <w:pPr>
      <w:pBdr>
        <w:left w:val="single" w:sz="4" w:space="0" w:color="auto"/>
        <w:bottom w:val="single" w:sz="4" w:space="0" w:color="auto"/>
      </w:pBdr>
      <w:spacing w:before="100" w:beforeAutospacing="1" w:after="100" w:afterAutospacing="1"/>
      <w:jc w:val="right"/>
      <w:textAlignment w:val="top"/>
    </w:pPr>
    <w:rPr>
      <w:rFonts w:eastAsia="Arial Unicode MS" w:cs="Arial"/>
      <w:b/>
      <w:bCs/>
      <w:sz w:val="16"/>
      <w:szCs w:val="16"/>
    </w:rPr>
  </w:style>
  <w:style w:type="paragraph" w:customStyle="1" w:styleId="xl100">
    <w:name w:val="xl100"/>
    <w:basedOn w:val="Normal"/>
    <w:pPr>
      <w:pBdr>
        <w:top w:val="single" w:sz="4" w:space="0" w:color="auto"/>
        <w:left w:val="single" w:sz="4" w:space="0" w:color="auto"/>
        <w:bottom w:val="single" w:sz="4" w:space="0" w:color="auto"/>
      </w:pBdr>
      <w:spacing w:before="100" w:beforeAutospacing="1" w:after="100" w:afterAutospacing="1"/>
      <w:jc w:val="right"/>
      <w:textAlignment w:val="top"/>
    </w:pPr>
    <w:rPr>
      <w:rFonts w:eastAsia="Arial Unicode MS" w:cs="Arial"/>
      <w:sz w:val="16"/>
      <w:szCs w:val="16"/>
    </w:rPr>
  </w:style>
  <w:style w:type="paragraph" w:customStyle="1" w:styleId="xl101">
    <w:name w:val="xl101"/>
    <w:basedOn w:val="Normal"/>
    <w:pPr>
      <w:pBdr>
        <w:left w:val="single" w:sz="8"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2">
    <w:name w:val="xl102"/>
    <w:basedOn w:val="Normal"/>
    <w:pPr>
      <w:pBdr>
        <w:left w:val="single" w:sz="8" w:space="0" w:color="auto"/>
        <w:right w:val="single" w:sz="8" w:space="0" w:color="auto"/>
      </w:pBdr>
      <w:spacing w:before="100" w:beforeAutospacing="1" w:after="100" w:afterAutospacing="1"/>
    </w:pPr>
    <w:rPr>
      <w:rFonts w:eastAsia="Arial Unicode MS" w:cs="Arial"/>
      <w:sz w:val="16"/>
      <w:szCs w:val="16"/>
    </w:rPr>
  </w:style>
  <w:style w:type="paragraph" w:customStyle="1" w:styleId="xl103">
    <w:name w:val="xl103"/>
    <w:basedOn w:val="Normal"/>
    <w:pPr>
      <w:spacing w:before="100" w:beforeAutospacing="1" w:after="100" w:afterAutospacing="1"/>
      <w:jc w:val="right"/>
      <w:textAlignment w:val="top"/>
    </w:pPr>
    <w:rPr>
      <w:rFonts w:eastAsia="Arial Unicode MS" w:cs="Arial"/>
      <w:b/>
      <w:bCs/>
      <w:sz w:val="16"/>
      <w:szCs w:val="16"/>
    </w:rPr>
  </w:style>
  <w:style w:type="paragraph" w:customStyle="1" w:styleId="xl104">
    <w:name w:val="xl104"/>
    <w:basedOn w:val="Normal"/>
    <w:pPr>
      <w:spacing w:before="100" w:beforeAutospacing="1" w:after="100" w:afterAutospacing="1"/>
      <w:jc w:val="both"/>
      <w:textAlignment w:val="top"/>
    </w:pPr>
    <w:rPr>
      <w:rFonts w:eastAsia="Arial Unicode MS" w:cs="Arial"/>
      <w:b/>
      <w:bCs/>
      <w:sz w:val="16"/>
      <w:szCs w:val="16"/>
    </w:rPr>
  </w:style>
  <w:style w:type="paragraph" w:customStyle="1" w:styleId="xl105">
    <w:name w:val="xl105"/>
    <w:basedOn w:val="Normal"/>
    <w:pPr>
      <w:pBdr>
        <w:left w:val="single" w:sz="8" w:space="0" w:color="auto"/>
        <w:right w:val="single" w:sz="8" w:space="0" w:color="auto"/>
      </w:pBdr>
      <w:spacing w:before="100" w:beforeAutospacing="1" w:after="100" w:afterAutospacing="1"/>
      <w:textAlignment w:val="top"/>
    </w:pPr>
    <w:rPr>
      <w:rFonts w:eastAsia="Arial Unicode MS" w:cs="Arial"/>
      <w:b/>
      <w:bCs/>
      <w:sz w:val="16"/>
      <w:szCs w:val="16"/>
    </w:rPr>
  </w:style>
  <w:style w:type="paragraph" w:customStyle="1" w:styleId="xl106">
    <w:name w:val="xl106"/>
    <w:basedOn w:val="Normal"/>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7">
    <w:name w:val="xl107"/>
    <w:basedOn w:val="Normal"/>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08">
    <w:name w:val="xl108"/>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09">
    <w:name w:val="xl109"/>
    <w:basedOn w:val="Normal"/>
    <w:pPr>
      <w:pBdr>
        <w:left w:val="single" w:sz="8" w:space="0" w:color="auto"/>
        <w:bottom w:val="single" w:sz="4" w:space="0" w:color="auto"/>
        <w:right w:val="single" w:sz="8" w:space="0" w:color="auto"/>
      </w:pBdr>
      <w:spacing w:before="100" w:beforeAutospacing="1" w:after="100" w:afterAutospacing="1"/>
      <w:textAlignment w:val="top"/>
    </w:pPr>
    <w:rPr>
      <w:rFonts w:eastAsia="Arial Unicode MS" w:cs="Arial"/>
      <w:sz w:val="16"/>
      <w:szCs w:val="16"/>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1">
    <w:name w:val="xl111"/>
    <w:basedOn w:val="Normal"/>
    <w:pPr>
      <w:pBdr>
        <w:top w:val="single" w:sz="4" w:space="0" w:color="auto"/>
        <w:left w:val="single" w:sz="4" w:space="0" w:color="auto"/>
        <w:bottom w:val="single" w:sz="4" w:space="0" w:color="auto"/>
      </w:pBdr>
      <w:shd w:val="clear" w:color="auto" w:fill="969696"/>
      <w:spacing w:before="100" w:beforeAutospacing="1" w:after="100" w:afterAutospacing="1"/>
      <w:textAlignment w:val="center"/>
    </w:pPr>
    <w:rPr>
      <w:rFonts w:eastAsia="Arial Unicode MS" w:cs="Arial"/>
      <w:b/>
      <w:bCs/>
      <w:sz w:val="16"/>
      <w:szCs w:val="16"/>
    </w:rPr>
  </w:style>
  <w:style w:type="paragraph" w:customStyle="1" w:styleId="xl112">
    <w:name w:val="xl112"/>
    <w:basedOn w:val="Normal"/>
    <w:pPr>
      <w:pBdr>
        <w:top w:val="single" w:sz="4" w:space="0" w:color="auto"/>
        <w:left w:val="single" w:sz="4" w:space="0" w:color="auto"/>
        <w:bottom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s="Arial"/>
      <w:b/>
      <w:bCs/>
      <w:sz w:val="16"/>
      <w:szCs w:val="16"/>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font7">
    <w:name w:val="font7"/>
    <w:basedOn w:val="Normal"/>
    <w:pPr>
      <w:spacing w:before="100" w:beforeAutospacing="1" w:after="100" w:afterAutospacing="1"/>
    </w:pPr>
    <w:rPr>
      <w:rFonts w:eastAsia="Arial Unicode MS" w:cs="Arial"/>
      <w:sz w:val="16"/>
      <w:szCs w:val="16"/>
    </w:rPr>
  </w:style>
  <w:style w:type="paragraph" w:customStyle="1" w:styleId="xl24">
    <w:name w:val="xl24"/>
    <w:basedOn w:val="Normal"/>
    <w:pPr>
      <w:spacing w:before="100" w:beforeAutospacing="1" w:after="100" w:afterAutospacing="1"/>
      <w:textAlignment w:val="top"/>
    </w:pPr>
    <w:rPr>
      <w:rFonts w:eastAsia="Arial Unicode MS" w:cs="Arial"/>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37">
    <w:name w:val="xl37"/>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8">
    <w:name w:val="xl38"/>
    <w:basedOn w:val="Normal"/>
    <w:pPr>
      <w:pBdr>
        <w:right w:val="single" w:sz="4" w:space="0" w:color="auto"/>
      </w:pBdr>
      <w:spacing w:before="100" w:beforeAutospacing="1" w:after="100" w:afterAutospacing="1"/>
      <w:textAlignment w:val="top"/>
    </w:pPr>
    <w:rPr>
      <w:rFonts w:eastAsia="Arial Unicode MS" w:cs="Arial"/>
      <w:szCs w:val="2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0">
    <w:name w:val="xl40"/>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41">
    <w:name w:val="xl41"/>
    <w:basedOn w:val="Normal"/>
    <w:pPr>
      <w:spacing w:before="100" w:beforeAutospacing="1" w:after="100" w:afterAutospacing="1"/>
      <w:jc w:val="center"/>
      <w:textAlignment w:val="top"/>
    </w:pPr>
    <w:rPr>
      <w:rFonts w:eastAsia="Arial Unicode MS" w:cs="Arial"/>
      <w:szCs w:val="24"/>
    </w:rPr>
  </w:style>
  <w:style w:type="paragraph" w:customStyle="1" w:styleId="xl42">
    <w:name w:val="xl4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b/>
      <w:bCs/>
      <w:szCs w:val="24"/>
    </w:rPr>
  </w:style>
  <w:style w:type="paragraph" w:customStyle="1" w:styleId="xl49">
    <w:name w:val="xl49"/>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0">
    <w:name w:val="xl50"/>
    <w:basedOn w:val="Normal"/>
    <w:pPr>
      <w:pBdr>
        <w:top w:val="single" w:sz="4" w:space="0" w:color="auto"/>
        <w:right w:val="single" w:sz="4" w:space="0" w:color="auto"/>
      </w:pBdr>
      <w:spacing w:before="100" w:beforeAutospacing="1" w:after="100" w:afterAutospacing="1"/>
      <w:textAlignment w:val="top"/>
    </w:pPr>
    <w:rPr>
      <w:rFonts w:eastAsia="Arial Unicode MS" w:cs="Arial"/>
      <w:b/>
      <w:bCs/>
      <w:szCs w:val="24"/>
    </w:rPr>
  </w:style>
  <w:style w:type="paragraph" w:customStyle="1" w:styleId="xl51">
    <w:name w:val="xl51"/>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4">
    <w:name w:val="xl54"/>
    <w:basedOn w:val="Normal"/>
    <w:pPr>
      <w:pBdr>
        <w:left w:val="single" w:sz="4" w:space="0" w:color="auto"/>
        <w:right w:val="single" w:sz="4" w:space="0" w:color="auto"/>
      </w:pBdr>
      <w:shd w:val="clear" w:color="auto" w:fill="FF0000"/>
      <w:spacing w:before="100" w:beforeAutospacing="1" w:after="100" w:afterAutospacing="1"/>
      <w:jc w:val="center"/>
      <w:textAlignment w:val="top"/>
    </w:pPr>
    <w:rPr>
      <w:rFonts w:eastAsia="Arial Unicode MS" w:cs="Arial"/>
      <w:b/>
      <w:bCs/>
      <w:szCs w:val="24"/>
    </w:rPr>
  </w:style>
  <w:style w:type="paragraph" w:customStyle="1" w:styleId="xl55">
    <w:name w:val="xl55"/>
    <w:basedOn w:val="Normal"/>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rFonts w:eastAsia="Arial Unicode MS" w:cs="Arial"/>
      <w:b/>
      <w:bCs/>
      <w:szCs w:val="24"/>
    </w:rPr>
  </w:style>
  <w:style w:type="paragraph" w:customStyle="1" w:styleId="xl58">
    <w:name w:val="xl58"/>
    <w:basedOn w:val="Normal"/>
    <w:pPr>
      <w:spacing w:before="100" w:beforeAutospacing="1" w:after="100" w:afterAutospacing="1"/>
      <w:jc w:val="center"/>
      <w:textAlignment w:val="top"/>
    </w:pPr>
    <w:rPr>
      <w:rFonts w:eastAsia="Arial Unicode MS" w:cs="Arial"/>
      <w:b/>
      <w:bCs/>
      <w:szCs w:val="24"/>
    </w:rPr>
  </w:style>
  <w:style w:type="paragraph" w:customStyle="1" w:styleId="xl59">
    <w:name w:val="xl59"/>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b/>
      <w:bCs/>
      <w:szCs w:val="24"/>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1">
    <w:name w:val="xl61"/>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7">
    <w:name w:val="xl67"/>
    <w:basedOn w:val="Normal"/>
    <w:pPr>
      <w:spacing w:before="100" w:beforeAutospacing="1" w:after="100" w:afterAutospacing="1"/>
      <w:jc w:val="center"/>
    </w:pPr>
    <w:rPr>
      <w:rFonts w:eastAsia="Arial Unicode MS" w:cs="Arial"/>
      <w:b/>
      <w:bCs/>
      <w:szCs w:val="24"/>
    </w:rPr>
  </w:style>
  <w:style w:type="paragraph" w:customStyle="1" w:styleId="xl68">
    <w:name w:val="xl68"/>
    <w:basedOn w:val="Normal"/>
    <w:pPr>
      <w:pBdr>
        <w:top w:val="single" w:sz="4" w:space="0" w:color="auto"/>
        <w:left w:val="single" w:sz="4" w:space="0" w:color="auto"/>
      </w:pBdr>
      <w:spacing w:before="100" w:beforeAutospacing="1" w:after="100" w:afterAutospacing="1"/>
    </w:pPr>
    <w:rPr>
      <w:rFonts w:eastAsia="Arial Unicode MS" w:cs="Arial"/>
      <w:b/>
      <w:bCs/>
      <w:sz w:val="32"/>
      <w:szCs w:val="32"/>
    </w:rPr>
  </w:style>
  <w:style w:type="paragraph" w:customStyle="1" w:styleId="xl69">
    <w:name w:val="xl69"/>
    <w:basedOn w:val="Normal"/>
    <w:pPr>
      <w:pBdr>
        <w:top w:val="single" w:sz="4" w:space="0" w:color="auto"/>
      </w:pBdr>
      <w:spacing w:before="100" w:beforeAutospacing="1" w:after="100" w:afterAutospacing="1"/>
      <w:jc w:val="center"/>
    </w:pPr>
    <w:rPr>
      <w:rFonts w:eastAsia="Arial Unicode MS" w:cs="Arial"/>
      <w:b/>
      <w:bCs/>
      <w:szCs w:val="24"/>
    </w:rPr>
  </w:style>
  <w:style w:type="paragraph" w:customStyle="1" w:styleId="xl70">
    <w:name w:val="xl70"/>
    <w:basedOn w:val="Normal"/>
    <w:pPr>
      <w:pBdr>
        <w:left w:val="single" w:sz="4" w:space="0" w:color="auto"/>
      </w:pBdr>
      <w:spacing w:before="100" w:beforeAutospacing="1" w:after="100" w:afterAutospacing="1"/>
      <w:jc w:val="center"/>
      <w:textAlignment w:val="center"/>
    </w:pPr>
    <w:rPr>
      <w:rFonts w:eastAsia="Arial Unicode MS" w:cs="Arial"/>
      <w:b/>
      <w:bCs/>
      <w:sz w:val="28"/>
      <w:szCs w:val="28"/>
    </w:rPr>
  </w:style>
  <w:style w:type="paragraph" w:customStyle="1" w:styleId="xl71">
    <w:name w:val="xl71"/>
    <w:basedOn w:val="Normal"/>
    <w:pPr>
      <w:spacing w:before="100" w:beforeAutospacing="1" w:after="100" w:afterAutospacing="1"/>
      <w:jc w:val="center"/>
      <w:textAlignment w:val="top"/>
    </w:pPr>
    <w:rPr>
      <w:rFonts w:eastAsia="Arial Unicode MS" w:cs="Arial"/>
      <w:b/>
      <w:bCs/>
      <w:szCs w:val="24"/>
    </w:rPr>
  </w:style>
  <w:style w:type="paragraph" w:customStyle="1" w:styleId="xl72">
    <w:name w:val="xl72"/>
    <w:basedOn w:val="Normal"/>
    <w:pPr>
      <w:spacing w:before="100" w:beforeAutospacing="1" w:after="100" w:afterAutospacing="1"/>
      <w:jc w:val="center"/>
    </w:pPr>
    <w:rPr>
      <w:rFonts w:eastAsia="Arial Unicode MS" w:cs="Arial"/>
      <w:szCs w:val="24"/>
    </w:rPr>
  </w:style>
  <w:style w:type="paragraph" w:customStyle="1" w:styleId="xl62">
    <w:name w:val="xl62"/>
    <w:basedOn w:val="Normal"/>
    <w:pPr>
      <w:spacing w:before="100" w:beforeAutospacing="1" w:after="100" w:afterAutospacing="1"/>
      <w:jc w:val="center"/>
      <w:textAlignment w:val="top"/>
    </w:pPr>
    <w:rPr>
      <w:rFonts w:eastAsia="Arial Unicode MS" w:cs="Arial"/>
      <w:b/>
      <w:bCs/>
      <w:szCs w:val="24"/>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64">
    <w:name w:val="xl64"/>
    <w:basedOn w:val="Normal"/>
    <w:pPr>
      <w:spacing w:before="100" w:beforeAutospacing="1" w:after="100" w:afterAutospacing="1"/>
      <w:jc w:val="center"/>
      <w:textAlignment w:val="top"/>
    </w:pPr>
    <w:rPr>
      <w:rFonts w:eastAsia="Arial Unicode MS" w:cs="Arial"/>
      <w:szCs w:val="24"/>
    </w:rPr>
  </w:style>
  <w:style w:type="paragraph" w:customStyle="1" w:styleId="xl65">
    <w:name w:val="xl65"/>
    <w:basedOn w:val="Normal"/>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cs="Arial"/>
      <w:b/>
      <w:bCs/>
      <w:szCs w:val="24"/>
    </w:rPr>
  </w:style>
  <w:style w:type="paragraph" w:customStyle="1" w:styleId="xl66">
    <w:name w:val="xl66"/>
    <w:basedOn w:val="Normal"/>
    <w:pPr>
      <w:pBdr>
        <w:left w:val="single" w:sz="4" w:space="0" w:color="auto"/>
        <w:right w:val="single" w:sz="4" w:space="0" w:color="auto"/>
      </w:pBdr>
      <w:spacing w:before="100" w:beforeAutospacing="1" w:after="100" w:afterAutospacing="1"/>
      <w:textAlignment w:val="top"/>
    </w:pPr>
    <w:rPr>
      <w:rFonts w:eastAsia="Arial Unicode MS" w:cs="Arial"/>
      <w:b/>
      <w:bCs/>
      <w:szCs w:val="24"/>
    </w:rPr>
  </w:style>
  <w:style w:type="character" w:styleId="FollowedHyperlink">
    <w:name w:val="FollowedHyperlink"/>
    <w:rPr>
      <w:rFonts w:ascii="Arial" w:hAnsi="Arial" w:cs="Arial"/>
      <w:color w:val="800080"/>
      <w:sz w:val="24"/>
      <w:u w:val="single"/>
      <w:lang w:val="en-GB" w:eastAsia="en-US" w:bidi="ar-SA"/>
    </w:rPr>
  </w:style>
  <w:style w:type="character" w:customStyle="1" w:styleId="WW8Num5z0">
    <w:name w:val="WW8Num5z0"/>
    <w:rPr>
      <w:rFonts w:ascii="Wingdings" w:hAnsi="Wingdings"/>
    </w:rPr>
  </w:style>
  <w:style w:type="character" w:customStyle="1" w:styleId="WW8Num4z0">
    <w:name w:val="WW8Num4z0"/>
    <w:rPr>
      <w:rFonts w:ascii="Symbol" w:hAnsi="Symbol"/>
    </w:rPr>
  </w:style>
  <w:style w:type="paragraph" w:styleId="List">
    <w:name w:val="List"/>
    <w:basedOn w:val="BodyText"/>
    <w:pPr>
      <w:suppressAutoHyphens/>
      <w:spacing w:after="120"/>
    </w:pPr>
    <w:rPr>
      <w:rFonts w:cs="Tahoma"/>
      <w:i w:val="0"/>
      <w:iCs w:val="0"/>
      <w:lang w:eastAsia="ar-SA"/>
    </w:rPr>
  </w:style>
  <w:style w:type="paragraph" w:styleId="Title">
    <w:name w:val="Title"/>
    <w:basedOn w:val="Normal"/>
    <w:qFormat/>
    <w:pPr>
      <w:suppressAutoHyphens/>
      <w:jc w:val="center"/>
    </w:pPr>
    <w:rPr>
      <w:rFonts w:cs="Arial"/>
      <w:b/>
      <w:sz w:val="28"/>
      <w:szCs w:val="28"/>
      <w:u w:val="single"/>
      <w:lang w:eastAsia="ar-SA"/>
    </w:rPr>
  </w:style>
  <w:style w:type="character" w:customStyle="1" w:styleId="WW8Num1z0">
    <w:name w:val="WW8Num1z0"/>
    <w:rPr>
      <w:rFonts w:ascii="Symbol" w:hAnsi="Symbol"/>
    </w:rPr>
  </w:style>
  <w:style w:type="paragraph" w:styleId="PlainText">
    <w:name w:val="Plain Text"/>
    <w:basedOn w:val="Normal"/>
    <w:link w:val="PlainTextChar"/>
    <w:semiHidden/>
    <w:rsid w:val="00464EC7"/>
    <w:rPr>
      <w:sz w:val="20"/>
      <w:szCs w:val="21"/>
      <w:lang w:eastAsia="en-GB"/>
    </w:rPr>
  </w:style>
  <w:style w:type="table" w:styleId="TableGrid">
    <w:name w:val="Table Grid"/>
    <w:basedOn w:val="TableNormal"/>
    <w:rsid w:val="00B40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C7E13"/>
    <w:rPr>
      <w:rFonts w:ascii="Arial" w:hAnsi="Arial"/>
      <w:sz w:val="24"/>
      <w:lang w:val="en-GB" w:eastAsia="en-US" w:bidi="ar-SA"/>
    </w:rPr>
  </w:style>
  <w:style w:type="paragraph" w:customStyle="1" w:styleId="1">
    <w:name w:val="1"/>
    <w:basedOn w:val="Normal"/>
    <w:locked/>
    <w:rsid w:val="00ED55EF"/>
    <w:pPr>
      <w:spacing w:after="160" w:line="240" w:lineRule="exact"/>
    </w:pPr>
    <w:rPr>
      <w:rFonts w:cs="Arial"/>
    </w:rPr>
  </w:style>
  <w:style w:type="paragraph" w:customStyle="1" w:styleId="CharCharCharChar2">
    <w:name w:val="Char Char Char Char2"/>
    <w:basedOn w:val="Normal"/>
    <w:locked/>
    <w:rsid w:val="000A55D4"/>
    <w:pPr>
      <w:spacing w:after="160" w:line="240" w:lineRule="exact"/>
    </w:pPr>
    <w:rPr>
      <w:rFonts w:ascii="Verdana" w:eastAsia="MS ??" w:hAnsi="Verdana" w:cs="Verdana"/>
      <w:sz w:val="20"/>
      <w:lang w:val="en-US"/>
    </w:rPr>
  </w:style>
  <w:style w:type="character" w:customStyle="1" w:styleId="CommentTextChar">
    <w:name w:val="Comment Text Char"/>
    <w:link w:val="CommentText"/>
    <w:uiPriority w:val="99"/>
    <w:semiHidden/>
    <w:rsid w:val="00033CFC"/>
    <w:rPr>
      <w:rFonts w:ascii="Arial" w:hAnsi="Arial"/>
      <w:lang w:eastAsia="en-US"/>
    </w:rPr>
  </w:style>
  <w:style w:type="paragraph" w:styleId="ListParagraph">
    <w:name w:val="List Paragraph"/>
    <w:basedOn w:val="Normal"/>
    <w:uiPriority w:val="34"/>
    <w:qFormat/>
    <w:rsid w:val="009870D0"/>
    <w:pPr>
      <w:ind w:left="720"/>
      <w:contextualSpacing/>
    </w:pPr>
  </w:style>
  <w:style w:type="paragraph" w:customStyle="1" w:styleId="CharCharCharChar">
    <w:name w:val="Char Char Char Char"/>
    <w:basedOn w:val="Normal"/>
    <w:locked/>
    <w:rsid w:val="00AC7BFC"/>
    <w:pPr>
      <w:spacing w:after="160" w:line="240" w:lineRule="exact"/>
    </w:pPr>
    <w:rPr>
      <w:rFonts w:ascii="Verdana" w:hAnsi="Verdana"/>
      <w:sz w:val="20"/>
      <w:lang w:val="en-US"/>
    </w:rPr>
  </w:style>
  <w:style w:type="paragraph" w:styleId="Revision">
    <w:name w:val="Revision"/>
    <w:hidden/>
    <w:uiPriority w:val="99"/>
    <w:semiHidden/>
    <w:rsid w:val="00554CAB"/>
    <w:rPr>
      <w:rFonts w:ascii="Arial" w:hAnsi="Arial"/>
      <w:sz w:val="24"/>
      <w:lang w:eastAsia="en-US"/>
    </w:rPr>
  </w:style>
  <w:style w:type="paragraph" w:customStyle="1" w:styleId="CharCharCharChar3">
    <w:name w:val="Char Char Char Char3"/>
    <w:basedOn w:val="Normal"/>
    <w:locked/>
    <w:rsid w:val="00484862"/>
    <w:pPr>
      <w:spacing w:after="160" w:line="240" w:lineRule="exact"/>
    </w:pPr>
    <w:rPr>
      <w:rFonts w:ascii="Verdana" w:hAnsi="Verdana"/>
      <w:sz w:val="20"/>
      <w:lang w:val="en-US"/>
    </w:rPr>
  </w:style>
  <w:style w:type="paragraph" w:customStyle="1" w:styleId="CharCharCharChar1">
    <w:name w:val="Char Char Char Char1"/>
    <w:basedOn w:val="Normal"/>
    <w:locked/>
    <w:rsid w:val="00591F00"/>
    <w:pPr>
      <w:spacing w:after="160" w:line="240" w:lineRule="exact"/>
    </w:pPr>
    <w:rPr>
      <w:rFonts w:ascii="Verdana" w:hAnsi="Verdana"/>
      <w:sz w:val="20"/>
      <w:lang w:val="en-US"/>
    </w:rPr>
  </w:style>
  <w:style w:type="character" w:styleId="LineNumber">
    <w:name w:val="line number"/>
    <w:basedOn w:val="DefaultParagraphFont"/>
    <w:rsid w:val="00D267E9"/>
  </w:style>
  <w:style w:type="numbering" w:customStyle="1" w:styleId="Style2">
    <w:name w:val="Style2"/>
    <w:uiPriority w:val="99"/>
    <w:rsid w:val="00B63933"/>
    <w:pPr>
      <w:numPr>
        <w:numId w:val="105"/>
      </w:numPr>
    </w:pPr>
  </w:style>
  <w:style w:type="table" w:customStyle="1" w:styleId="TableGrid1">
    <w:name w:val="Table Grid1"/>
    <w:basedOn w:val="TableNormal"/>
    <w:next w:val="TableGrid"/>
    <w:uiPriority w:val="59"/>
    <w:rsid w:val="00FD1CF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11D90"/>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35">
      <w:bodyDiv w:val="1"/>
      <w:marLeft w:val="0"/>
      <w:marRight w:val="0"/>
      <w:marTop w:val="0"/>
      <w:marBottom w:val="0"/>
      <w:divBdr>
        <w:top w:val="none" w:sz="0" w:space="0" w:color="auto"/>
        <w:left w:val="none" w:sz="0" w:space="0" w:color="auto"/>
        <w:bottom w:val="none" w:sz="0" w:space="0" w:color="auto"/>
        <w:right w:val="none" w:sz="0" w:space="0" w:color="auto"/>
      </w:divBdr>
    </w:div>
    <w:div w:id="19166907">
      <w:bodyDiv w:val="1"/>
      <w:marLeft w:val="0"/>
      <w:marRight w:val="0"/>
      <w:marTop w:val="0"/>
      <w:marBottom w:val="0"/>
      <w:divBdr>
        <w:top w:val="none" w:sz="0" w:space="0" w:color="auto"/>
        <w:left w:val="none" w:sz="0" w:space="0" w:color="auto"/>
        <w:bottom w:val="none" w:sz="0" w:space="0" w:color="auto"/>
        <w:right w:val="none" w:sz="0" w:space="0" w:color="auto"/>
      </w:divBdr>
    </w:div>
    <w:div w:id="30999218">
      <w:bodyDiv w:val="1"/>
      <w:marLeft w:val="0"/>
      <w:marRight w:val="0"/>
      <w:marTop w:val="0"/>
      <w:marBottom w:val="0"/>
      <w:divBdr>
        <w:top w:val="none" w:sz="0" w:space="0" w:color="auto"/>
        <w:left w:val="none" w:sz="0" w:space="0" w:color="auto"/>
        <w:bottom w:val="none" w:sz="0" w:space="0" w:color="auto"/>
        <w:right w:val="none" w:sz="0" w:space="0" w:color="auto"/>
      </w:divBdr>
    </w:div>
    <w:div w:id="41054459">
      <w:bodyDiv w:val="1"/>
      <w:marLeft w:val="0"/>
      <w:marRight w:val="0"/>
      <w:marTop w:val="0"/>
      <w:marBottom w:val="0"/>
      <w:divBdr>
        <w:top w:val="none" w:sz="0" w:space="0" w:color="auto"/>
        <w:left w:val="none" w:sz="0" w:space="0" w:color="auto"/>
        <w:bottom w:val="none" w:sz="0" w:space="0" w:color="auto"/>
        <w:right w:val="none" w:sz="0" w:space="0" w:color="auto"/>
      </w:divBdr>
    </w:div>
    <w:div w:id="86125114">
      <w:bodyDiv w:val="1"/>
      <w:marLeft w:val="0"/>
      <w:marRight w:val="0"/>
      <w:marTop w:val="0"/>
      <w:marBottom w:val="0"/>
      <w:divBdr>
        <w:top w:val="none" w:sz="0" w:space="0" w:color="auto"/>
        <w:left w:val="none" w:sz="0" w:space="0" w:color="auto"/>
        <w:bottom w:val="none" w:sz="0" w:space="0" w:color="auto"/>
        <w:right w:val="none" w:sz="0" w:space="0" w:color="auto"/>
      </w:divBdr>
    </w:div>
    <w:div w:id="117843390">
      <w:bodyDiv w:val="1"/>
      <w:marLeft w:val="0"/>
      <w:marRight w:val="0"/>
      <w:marTop w:val="0"/>
      <w:marBottom w:val="0"/>
      <w:divBdr>
        <w:top w:val="none" w:sz="0" w:space="0" w:color="auto"/>
        <w:left w:val="none" w:sz="0" w:space="0" w:color="auto"/>
        <w:bottom w:val="none" w:sz="0" w:space="0" w:color="auto"/>
        <w:right w:val="none" w:sz="0" w:space="0" w:color="auto"/>
      </w:divBdr>
    </w:div>
    <w:div w:id="143352961">
      <w:bodyDiv w:val="1"/>
      <w:marLeft w:val="0"/>
      <w:marRight w:val="0"/>
      <w:marTop w:val="0"/>
      <w:marBottom w:val="0"/>
      <w:divBdr>
        <w:top w:val="none" w:sz="0" w:space="0" w:color="auto"/>
        <w:left w:val="none" w:sz="0" w:space="0" w:color="auto"/>
        <w:bottom w:val="none" w:sz="0" w:space="0" w:color="auto"/>
        <w:right w:val="none" w:sz="0" w:space="0" w:color="auto"/>
      </w:divBdr>
    </w:div>
    <w:div w:id="187530745">
      <w:bodyDiv w:val="1"/>
      <w:marLeft w:val="0"/>
      <w:marRight w:val="0"/>
      <w:marTop w:val="0"/>
      <w:marBottom w:val="0"/>
      <w:divBdr>
        <w:top w:val="none" w:sz="0" w:space="0" w:color="auto"/>
        <w:left w:val="none" w:sz="0" w:space="0" w:color="auto"/>
        <w:bottom w:val="none" w:sz="0" w:space="0" w:color="auto"/>
        <w:right w:val="none" w:sz="0" w:space="0" w:color="auto"/>
      </w:divBdr>
    </w:div>
    <w:div w:id="210263273">
      <w:bodyDiv w:val="1"/>
      <w:marLeft w:val="0"/>
      <w:marRight w:val="0"/>
      <w:marTop w:val="0"/>
      <w:marBottom w:val="0"/>
      <w:divBdr>
        <w:top w:val="none" w:sz="0" w:space="0" w:color="auto"/>
        <w:left w:val="none" w:sz="0" w:space="0" w:color="auto"/>
        <w:bottom w:val="none" w:sz="0" w:space="0" w:color="auto"/>
        <w:right w:val="none" w:sz="0" w:space="0" w:color="auto"/>
      </w:divBdr>
    </w:div>
    <w:div w:id="223807317">
      <w:bodyDiv w:val="1"/>
      <w:marLeft w:val="0"/>
      <w:marRight w:val="0"/>
      <w:marTop w:val="0"/>
      <w:marBottom w:val="0"/>
      <w:divBdr>
        <w:top w:val="none" w:sz="0" w:space="0" w:color="auto"/>
        <w:left w:val="none" w:sz="0" w:space="0" w:color="auto"/>
        <w:bottom w:val="none" w:sz="0" w:space="0" w:color="auto"/>
        <w:right w:val="none" w:sz="0" w:space="0" w:color="auto"/>
      </w:divBdr>
    </w:div>
    <w:div w:id="229316418">
      <w:bodyDiv w:val="1"/>
      <w:marLeft w:val="0"/>
      <w:marRight w:val="0"/>
      <w:marTop w:val="0"/>
      <w:marBottom w:val="0"/>
      <w:divBdr>
        <w:top w:val="none" w:sz="0" w:space="0" w:color="auto"/>
        <w:left w:val="none" w:sz="0" w:space="0" w:color="auto"/>
        <w:bottom w:val="none" w:sz="0" w:space="0" w:color="auto"/>
        <w:right w:val="none" w:sz="0" w:space="0" w:color="auto"/>
      </w:divBdr>
    </w:div>
    <w:div w:id="232161101">
      <w:bodyDiv w:val="1"/>
      <w:marLeft w:val="0"/>
      <w:marRight w:val="0"/>
      <w:marTop w:val="0"/>
      <w:marBottom w:val="0"/>
      <w:divBdr>
        <w:top w:val="none" w:sz="0" w:space="0" w:color="auto"/>
        <w:left w:val="none" w:sz="0" w:space="0" w:color="auto"/>
        <w:bottom w:val="none" w:sz="0" w:space="0" w:color="auto"/>
        <w:right w:val="none" w:sz="0" w:space="0" w:color="auto"/>
      </w:divBdr>
    </w:div>
    <w:div w:id="241529603">
      <w:bodyDiv w:val="1"/>
      <w:marLeft w:val="0"/>
      <w:marRight w:val="0"/>
      <w:marTop w:val="0"/>
      <w:marBottom w:val="0"/>
      <w:divBdr>
        <w:top w:val="none" w:sz="0" w:space="0" w:color="auto"/>
        <w:left w:val="none" w:sz="0" w:space="0" w:color="auto"/>
        <w:bottom w:val="none" w:sz="0" w:space="0" w:color="auto"/>
        <w:right w:val="none" w:sz="0" w:space="0" w:color="auto"/>
      </w:divBdr>
    </w:div>
    <w:div w:id="280066281">
      <w:bodyDiv w:val="1"/>
      <w:marLeft w:val="0"/>
      <w:marRight w:val="0"/>
      <w:marTop w:val="0"/>
      <w:marBottom w:val="0"/>
      <w:divBdr>
        <w:top w:val="none" w:sz="0" w:space="0" w:color="auto"/>
        <w:left w:val="none" w:sz="0" w:space="0" w:color="auto"/>
        <w:bottom w:val="none" w:sz="0" w:space="0" w:color="auto"/>
        <w:right w:val="none" w:sz="0" w:space="0" w:color="auto"/>
      </w:divBdr>
    </w:div>
    <w:div w:id="287011045">
      <w:bodyDiv w:val="1"/>
      <w:marLeft w:val="0"/>
      <w:marRight w:val="0"/>
      <w:marTop w:val="0"/>
      <w:marBottom w:val="0"/>
      <w:divBdr>
        <w:top w:val="none" w:sz="0" w:space="0" w:color="auto"/>
        <w:left w:val="none" w:sz="0" w:space="0" w:color="auto"/>
        <w:bottom w:val="none" w:sz="0" w:space="0" w:color="auto"/>
        <w:right w:val="none" w:sz="0" w:space="0" w:color="auto"/>
      </w:divBdr>
    </w:div>
    <w:div w:id="303895745">
      <w:bodyDiv w:val="1"/>
      <w:marLeft w:val="0"/>
      <w:marRight w:val="0"/>
      <w:marTop w:val="0"/>
      <w:marBottom w:val="0"/>
      <w:divBdr>
        <w:top w:val="none" w:sz="0" w:space="0" w:color="auto"/>
        <w:left w:val="none" w:sz="0" w:space="0" w:color="auto"/>
        <w:bottom w:val="none" w:sz="0" w:space="0" w:color="auto"/>
        <w:right w:val="none" w:sz="0" w:space="0" w:color="auto"/>
      </w:divBdr>
    </w:div>
    <w:div w:id="310911759">
      <w:bodyDiv w:val="1"/>
      <w:marLeft w:val="0"/>
      <w:marRight w:val="0"/>
      <w:marTop w:val="0"/>
      <w:marBottom w:val="0"/>
      <w:divBdr>
        <w:top w:val="none" w:sz="0" w:space="0" w:color="auto"/>
        <w:left w:val="none" w:sz="0" w:space="0" w:color="auto"/>
        <w:bottom w:val="none" w:sz="0" w:space="0" w:color="auto"/>
        <w:right w:val="none" w:sz="0" w:space="0" w:color="auto"/>
      </w:divBdr>
    </w:div>
    <w:div w:id="348988610">
      <w:bodyDiv w:val="1"/>
      <w:marLeft w:val="0"/>
      <w:marRight w:val="0"/>
      <w:marTop w:val="0"/>
      <w:marBottom w:val="0"/>
      <w:divBdr>
        <w:top w:val="none" w:sz="0" w:space="0" w:color="auto"/>
        <w:left w:val="none" w:sz="0" w:space="0" w:color="auto"/>
        <w:bottom w:val="none" w:sz="0" w:space="0" w:color="auto"/>
        <w:right w:val="none" w:sz="0" w:space="0" w:color="auto"/>
      </w:divBdr>
    </w:div>
    <w:div w:id="350879849">
      <w:bodyDiv w:val="1"/>
      <w:marLeft w:val="0"/>
      <w:marRight w:val="0"/>
      <w:marTop w:val="0"/>
      <w:marBottom w:val="0"/>
      <w:divBdr>
        <w:top w:val="none" w:sz="0" w:space="0" w:color="auto"/>
        <w:left w:val="none" w:sz="0" w:space="0" w:color="auto"/>
        <w:bottom w:val="none" w:sz="0" w:space="0" w:color="auto"/>
        <w:right w:val="none" w:sz="0" w:space="0" w:color="auto"/>
      </w:divBdr>
    </w:div>
    <w:div w:id="356587582">
      <w:bodyDiv w:val="1"/>
      <w:marLeft w:val="0"/>
      <w:marRight w:val="0"/>
      <w:marTop w:val="0"/>
      <w:marBottom w:val="0"/>
      <w:divBdr>
        <w:top w:val="none" w:sz="0" w:space="0" w:color="auto"/>
        <w:left w:val="none" w:sz="0" w:space="0" w:color="auto"/>
        <w:bottom w:val="none" w:sz="0" w:space="0" w:color="auto"/>
        <w:right w:val="none" w:sz="0" w:space="0" w:color="auto"/>
      </w:divBdr>
    </w:div>
    <w:div w:id="375197612">
      <w:bodyDiv w:val="1"/>
      <w:marLeft w:val="0"/>
      <w:marRight w:val="0"/>
      <w:marTop w:val="0"/>
      <w:marBottom w:val="0"/>
      <w:divBdr>
        <w:top w:val="none" w:sz="0" w:space="0" w:color="auto"/>
        <w:left w:val="none" w:sz="0" w:space="0" w:color="auto"/>
        <w:bottom w:val="none" w:sz="0" w:space="0" w:color="auto"/>
        <w:right w:val="none" w:sz="0" w:space="0" w:color="auto"/>
      </w:divBdr>
    </w:div>
    <w:div w:id="394357503">
      <w:bodyDiv w:val="1"/>
      <w:marLeft w:val="0"/>
      <w:marRight w:val="0"/>
      <w:marTop w:val="0"/>
      <w:marBottom w:val="0"/>
      <w:divBdr>
        <w:top w:val="none" w:sz="0" w:space="0" w:color="auto"/>
        <w:left w:val="none" w:sz="0" w:space="0" w:color="auto"/>
        <w:bottom w:val="none" w:sz="0" w:space="0" w:color="auto"/>
        <w:right w:val="none" w:sz="0" w:space="0" w:color="auto"/>
      </w:divBdr>
    </w:div>
    <w:div w:id="417749915">
      <w:bodyDiv w:val="1"/>
      <w:marLeft w:val="0"/>
      <w:marRight w:val="0"/>
      <w:marTop w:val="0"/>
      <w:marBottom w:val="0"/>
      <w:divBdr>
        <w:top w:val="none" w:sz="0" w:space="0" w:color="auto"/>
        <w:left w:val="none" w:sz="0" w:space="0" w:color="auto"/>
        <w:bottom w:val="none" w:sz="0" w:space="0" w:color="auto"/>
        <w:right w:val="none" w:sz="0" w:space="0" w:color="auto"/>
      </w:divBdr>
    </w:div>
    <w:div w:id="442072616">
      <w:bodyDiv w:val="1"/>
      <w:marLeft w:val="0"/>
      <w:marRight w:val="0"/>
      <w:marTop w:val="0"/>
      <w:marBottom w:val="0"/>
      <w:divBdr>
        <w:top w:val="none" w:sz="0" w:space="0" w:color="auto"/>
        <w:left w:val="none" w:sz="0" w:space="0" w:color="auto"/>
        <w:bottom w:val="none" w:sz="0" w:space="0" w:color="auto"/>
        <w:right w:val="none" w:sz="0" w:space="0" w:color="auto"/>
      </w:divBdr>
    </w:div>
    <w:div w:id="451675438">
      <w:bodyDiv w:val="1"/>
      <w:marLeft w:val="0"/>
      <w:marRight w:val="0"/>
      <w:marTop w:val="0"/>
      <w:marBottom w:val="0"/>
      <w:divBdr>
        <w:top w:val="none" w:sz="0" w:space="0" w:color="auto"/>
        <w:left w:val="none" w:sz="0" w:space="0" w:color="auto"/>
        <w:bottom w:val="none" w:sz="0" w:space="0" w:color="auto"/>
        <w:right w:val="none" w:sz="0" w:space="0" w:color="auto"/>
      </w:divBdr>
    </w:div>
    <w:div w:id="452360426">
      <w:bodyDiv w:val="1"/>
      <w:marLeft w:val="0"/>
      <w:marRight w:val="0"/>
      <w:marTop w:val="0"/>
      <w:marBottom w:val="0"/>
      <w:divBdr>
        <w:top w:val="none" w:sz="0" w:space="0" w:color="auto"/>
        <w:left w:val="none" w:sz="0" w:space="0" w:color="auto"/>
        <w:bottom w:val="none" w:sz="0" w:space="0" w:color="auto"/>
        <w:right w:val="none" w:sz="0" w:space="0" w:color="auto"/>
      </w:divBdr>
    </w:div>
    <w:div w:id="544759109">
      <w:bodyDiv w:val="1"/>
      <w:marLeft w:val="0"/>
      <w:marRight w:val="0"/>
      <w:marTop w:val="0"/>
      <w:marBottom w:val="0"/>
      <w:divBdr>
        <w:top w:val="none" w:sz="0" w:space="0" w:color="auto"/>
        <w:left w:val="none" w:sz="0" w:space="0" w:color="auto"/>
        <w:bottom w:val="none" w:sz="0" w:space="0" w:color="auto"/>
        <w:right w:val="none" w:sz="0" w:space="0" w:color="auto"/>
      </w:divBdr>
    </w:div>
    <w:div w:id="562178319">
      <w:bodyDiv w:val="1"/>
      <w:marLeft w:val="0"/>
      <w:marRight w:val="0"/>
      <w:marTop w:val="0"/>
      <w:marBottom w:val="0"/>
      <w:divBdr>
        <w:top w:val="none" w:sz="0" w:space="0" w:color="auto"/>
        <w:left w:val="none" w:sz="0" w:space="0" w:color="auto"/>
        <w:bottom w:val="none" w:sz="0" w:space="0" w:color="auto"/>
        <w:right w:val="none" w:sz="0" w:space="0" w:color="auto"/>
      </w:divBdr>
    </w:div>
    <w:div w:id="587540710">
      <w:bodyDiv w:val="1"/>
      <w:marLeft w:val="0"/>
      <w:marRight w:val="0"/>
      <w:marTop w:val="0"/>
      <w:marBottom w:val="0"/>
      <w:divBdr>
        <w:top w:val="none" w:sz="0" w:space="0" w:color="auto"/>
        <w:left w:val="none" w:sz="0" w:space="0" w:color="auto"/>
        <w:bottom w:val="none" w:sz="0" w:space="0" w:color="auto"/>
        <w:right w:val="none" w:sz="0" w:space="0" w:color="auto"/>
      </w:divBdr>
    </w:div>
    <w:div w:id="594284968">
      <w:bodyDiv w:val="1"/>
      <w:marLeft w:val="0"/>
      <w:marRight w:val="0"/>
      <w:marTop w:val="0"/>
      <w:marBottom w:val="0"/>
      <w:divBdr>
        <w:top w:val="none" w:sz="0" w:space="0" w:color="auto"/>
        <w:left w:val="none" w:sz="0" w:space="0" w:color="auto"/>
        <w:bottom w:val="none" w:sz="0" w:space="0" w:color="auto"/>
        <w:right w:val="none" w:sz="0" w:space="0" w:color="auto"/>
      </w:divBdr>
    </w:div>
    <w:div w:id="623392784">
      <w:bodyDiv w:val="1"/>
      <w:marLeft w:val="0"/>
      <w:marRight w:val="0"/>
      <w:marTop w:val="0"/>
      <w:marBottom w:val="0"/>
      <w:divBdr>
        <w:top w:val="none" w:sz="0" w:space="0" w:color="auto"/>
        <w:left w:val="none" w:sz="0" w:space="0" w:color="auto"/>
        <w:bottom w:val="none" w:sz="0" w:space="0" w:color="auto"/>
        <w:right w:val="none" w:sz="0" w:space="0" w:color="auto"/>
      </w:divBdr>
    </w:div>
    <w:div w:id="623586074">
      <w:bodyDiv w:val="1"/>
      <w:marLeft w:val="0"/>
      <w:marRight w:val="0"/>
      <w:marTop w:val="0"/>
      <w:marBottom w:val="0"/>
      <w:divBdr>
        <w:top w:val="none" w:sz="0" w:space="0" w:color="auto"/>
        <w:left w:val="none" w:sz="0" w:space="0" w:color="auto"/>
        <w:bottom w:val="none" w:sz="0" w:space="0" w:color="auto"/>
        <w:right w:val="none" w:sz="0" w:space="0" w:color="auto"/>
      </w:divBdr>
    </w:div>
    <w:div w:id="628709426">
      <w:bodyDiv w:val="1"/>
      <w:marLeft w:val="0"/>
      <w:marRight w:val="0"/>
      <w:marTop w:val="0"/>
      <w:marBottom w:val="0"/>
      <w:divBdr>
        <w:top w:val="none" w:sz="0" w:space="0" w:color="auto"/>
        <w:left w:val="none" w:sz="0" w:space="0" w:color="auto"/>
        <w:bottom w:val="none" w:sz="0" w:space="0" w:color="auto"/>
        <w:right w:val="none" w:sz="0" w:space="0" w:color="auto"/>
      </w:divBdr>
    </w:div>
    <w:div w:id="658509534">
      <w:bodyDiv w:val="1"/>
      <w:marLeft w:val="0"/>
      <w:marRight w:val="0"/>
      <w:marTop w:val="0"/>
      <w:marBottom w:val="0"/>
      <w:divBdr>
        <w:top w:val="none" w:sz="0" w:space="0" w:color="auto"/>
        <w:left w:val="none" w:sz="0" w:space="0" w:color="auto"/>
        <w:bottom w:val="none" w:sz="0" w:space="0" w:color="auto"/>
        <w:right w:val="none" w:sz="0" w:space="0" w:color="auto"/>
      </w:divBdr>
    </w:div>
    <w:div w:id="675421216">
      <w:bodyDiv w:val="1"/>
      <w:marLeft w:val="0"/>
      <w:marRight w:val="0"/>
      <w:marTop w:val="0"/>
      <w:marBottom w:val="0"/>
      <w:divBdr>
        <w:top w:val="none" w:sz="0" w:space="0" w:color="auto"/>
        <w:left w:val="none" w:sz="0" w:space="0" w:color="auto"/>
        <w:bottom w:val="none" w:sz="0" w:space="0" w:color="auto"/>
        <w:right w:val="none" w:sz="0" w:space="0" w:color="auto"/>
      </w:divBdr>
    </w:div>
    <w:div w:id="684669562">
      <w:bodyDiv w:val="1"/>
      <w:marLeft w:val="0"/>
      <w:marRight w:val="0"/>
      <w:marTop w:val="0"/>
      <w:marBottom w:val="0"/>
      <w:divBdr>
        <w:top w:val="none" w:sz="0" w:space="0" w:color="auto"/>
        <w:left w:val="none" w:sz="0" w:space="0" w:color="auto"/>
        <w:bottom w:val="none" w:sz="0" w:space="0" w:color="auto"/>
        <w:right w:val="none" w:sz="0" w:space="0" w:color="auto"/>
      </w:divBdr>
    </w:div>
    <w:div w:id="762646384">
      <w:bodyDiv w:val="1"/>
      <w:marLeft w:val="0"/>
      <w:marRight w:val="0"/>
      <w:marTop w:val="0"/>
      <w:marBottom w:val="0"/>
      <w:divBdr>
        <w:top w:val="none" w:sz="0" w:space="0" w:color="auto"/>
        <w:left w:val="none" w:sz="0" w:space="0" w:color="auto"/>
        <w:bottom w:val="none" w:sz="0" w:space="0" w:color="auto"/>
        <w:right w:val="none" w:sz="0" w:space="0" w:color="auto"/>
      </w:divBdr>
    </w:div>
    <w:div w:id="775903996">
      <w:bodyDiv w:val="1"/>
      <w:marLeft w:val="0"/>
      <w:marRight w:val="0"/>
      <w:marTop w:val="0"/>
      <w:marBottom w:val="0"/>
      <w:divBdr>
        <w:top w:val="none" w:sz="0" w:space="0" w:color="auto"/>
        <w:left w:val="none" w:sz="0" w:space="0" w:color="auto"/>
        <w:bottom w:val="none" w:sz="0" w:space="0" w:color="auto"/>
        <w:right w:val="none" w:sz="0" w:space="0" w:color="auto"/>
      </w:divBdr>
    </w:div>
    <w:div w:id="805395866">
      <w:bodyDiv w:val="1"/>
      <w:marLeft w:val="0"/>
      <w:marRight w:val="0"/>
      <w:marTop w:val="0"/>
      <w:marBottom w:val="0"/>
      <w:divBdr>
        <w:top w:val="none" w:sz="0" w:space="0" w:color="auto"/>
        <w:left w:val="none" w:sz="0" w:space="0" w:color="auto"/>
        <w:bottom w:val="none" w:sz="0" w:space="0" w:color="auto"/>
        <w:right w:val="none" w:sz="0" w:space="0" w:color="auto"/>
      </w:divBdr>
    </w:div>
    <w:div w:id="855575928">
      <w:bodyDiv w:val="1"/>
      <w:marLeft w:val="0"/>
      <w:marRight w:val="0"/>
      <w:marTop w:val="0"/>
      <w:marBottom w:val="0"/>
      <w:divBdr>
        <w:top w:val="none" w:sz="0" w:space="0" w:color="auto"/>
        <w:left w:val="none" w:sz="0" w:space="0" w:color="auto"/>
        <w:bottom w:val="none" w:sz="0" w:space="0" w:color="auto"/>
        <w:right w:val="none" w:sz="0" w:space="0" w:color="auto"/>
      </w:divBdr>
    </w:div>
    <w:div w:id="856384112">
      <w:bodyDiv w:val="1"/>
      <w:marLeft w:val="0"/>
      <w:marRight w:val="0"/>
      <w:marTop w:val="0"/>
      <w:marBottom w:val="0"/>
      <w:divBdr>
        <w:top w:val="none" w:sz="0" w:space="0" w:color="auto"/>
        <w:left w:val="none" w:sz="0" w:space="0" w:color="auto"/>
        <w:bottom w:val="none" w:sz="0" w:space="0" w:color="auto"/>
        <w:right w:val="none" w:sz="0" w:space="0" w:color="auto"/>
      </w:divBdr>
    </w:div>
    <w:div w:id="866020846">
      <w:bodyDiv w:val="1"/>
      <w:marLeft w:val="0"/>
      <w:marRight w:val="0"/>
      <w:marTop w:val="0"/>
      <w:marBottom w:val="0"/>
      <w:divBdr>
        <w:top w:val="none" w:sz="0" w:space="0" w:color="auto"/>
        <w:left w:val="none" w:sz="0" w:space="0" w:color="auto"/>
        <w:bottom w:val="none" w:sz="0" w:space="0" w:color="auto"/>
        <w:right w:val="none" w:sz="0" w:space="0" w:color="auto"/>
      </w:divBdr>
    </w:div>
    <w:div w:id="950942675">
      <w:bodyDiv w:val="1"/>
      <w:marLeft w:val="0"/>
      <w:marRight w:val="0"/>
      <w:marTop w:val="0"/>
      <w:marBottom w:val="0"/>
      <w:divBdr>
        <w:top w:val="none" w:sz="0" w:space="0" w:color="auto"/>
        <w:left w:val="none" w:sz="0" w:space="0" w:color="auto"/>
        <w:bottom w:val="none" w:sz="0" w:space="0" w:color="auto"/>
        <w:right w:val="none" w:sz="0" w:space="0" w:color="auto"/>
      </w:divBdr>
    </w:div>
    <w:div w:id="955064935">
      <w:bodyDiv w:val="1"/>
      <w:marLeft w:val="0"/>
      <w:marRight w:val="0"/>
      <w:marTop w:val="0"/>
      <w:marBottom w:val="0"/>
      <w:divBdr>
        <w:top w:val="none" w:sz="0" w:space="0" w:color="auto"/>
        <w:left w:val="none" w:sz="0" w:space="0" w:color="auto"/>
        <w:bottom w:val="none" w:sz="0" w:space="0" w:color="auto"/>
        <w:right w:val="none" w:sz="0" w:space="0" w:color="auto"/>
      </w:divBdr>
    </w:div>
    <w:div w:id="967928557">
      <w:bodyDiv w:val="1"/>
      <w:marLeft w:val="0"/>
      <w:marRight w:val="0"/>
      <w:marTop w:val="0"/>
      <w:marBottom w:val="0"/>
      <w:divBdr>
        <w:top w:val="none" w:sz="0" w:space="0" w:color="auto"/>
        <w:left w:val="none" w:sz="0" w:space="0" w:color="auto"/>
        <w:bottom w:val="none" w:sz="0" w:space="0" w:color="auto"/>
        <w:right w:val="none" w:sz="0" w:space="0" w:color="auto"/>
      </w:divBdr>
    </w:div>
    <w:div w:id="1003826543">
      <w:bodyDiv w:val="1"/>
      <w:marLeft w:val="0"/>
      <w:marRight w:val="0"/>
      <w:marTop w:val="0"/>
      <w:marBottom w:val="0"/>
      <w:divBdr>
        <w:top w:val="none" w:sz="0" w:space="0" w:color="auto"/>
        <w:left w:val="none" w:sz="0" w:space="0" w:color="auto"/>
        <w:bottom w:val="none" w:sz="0" w:space="0" w:color="auto"/>
        <w:right w:val="none" w:sz="0" w:space="0" w:color="auto"/>
      </w:divBdr>
    </w:div>
    <w:div w:id="1021467773">
      <w:bodyDiv w:val="1"/>
      <w:marLeft w:val="0"/>
      <w:marRight w:val="0"/>
      <w:marTop w:val="0"/>
      <w:marBottom w:val="0"/>
      <w:divBdr>
        <w:top w:val="none" w:sz="0" w:space="0" w:color="auto"/>
        <w:left w:val="none" w:sz="0" w:space="0" w:color="auto"/>
        <w:bottom w:val="none" w:sz="0" w:space="0" w:color="auto"/>
        <w:right w:val="none" w:sz="0" w:space="0" w:color="auto"/>
      </w:divBdr>
    </w:div>
    <w:div w:id="1022247719">
      <w:bodyDiv w:val="1"/>
      <w:marLeft w:val="0"/>
      <w:marRight w:val="0"/>
      <w:marTop w:val="0"/>
      <w:marBottom w:val="0"/>
      <w:divBdr>
        <w:top w:val="none" w:sz="0" w:space="0" w:color="auto"/>
        <w:left w:val="none" w:sz="0" w:space="0" w:color="auto"/>
        <w:bottom w:val="none" w:sz="0" w:space="0" w:color="auto"/>
        <w:right w:val="none" w:sz="0" w:space="0" w:color="auto"/>
      </w:divBdr>
    </w:div>
    <w:div w:id="1036393992">
      <w:bodyDiv w:val="1"/>
      <w:marLeft w:val="0"/>
      <w:marRight w:val="0"/>
      <w:marTop w:val="0"/>
      <w:marBottom w:val="0"/>
      <w:divBdr>
        <w:top w:val="none" w:sz="0" w:space="0" w:color="auto"/>
        <w:left w:val="none" w:sz="0" w:space="0" w:color="auto"/>
        <w:bottom w:val="none" w:sz="0" w:space="0" w:color="auto"/>
        <w:right w:val="none" w:sz="0" w:space="0" w:color="auto"/>
      </w:divBdr>
    </w:div>
    <w:div w:id="1067654355">
      <w:bodyDiv w:val="1"/>
      <w:marLeft w:val="0"/>
      <w:marRight w:val="0"/>
      <w:marTop w:val="0"/>
      <w:marBottom w:val="0"/>
      <w:divBdr>
        <w:top w:val="none" w:sz="0" w:space="0" w:color="auto"/>
        <w:left w:val="none" w:sz="0" w:space="0" w:color="auto"/>
        <w:bottom w:val="none" w:sz="0" w:space="0" w:color="auto"/>
        <w:right w:val="none" w:sz="0" w:space="0" w:color="auto"/>
      </w:divBdr>
    </w:div>
    <w:div w:id="1081104481">
      <w:bodyDiv w:val="1"/>
      <w:marLeft w:val="0"/>
      <w:marRight w:val="0"/>
      <w:marTop w:val="0"/>
      <w:marBottom w:val="0"/>
      <w:divBdr>
        <w:top w:val="none" w:sz="0" w:space="0" w:color="auto"/>
        <w:left w:val="none" w:sz="0" w:space="0" w:color="auto"/>
        <w:bottom w:val="none" w:sz="0" w:space="0" w:color="auto"/>
        <w:right w:val="none" w:sz="0" w:space="0" w:color="auto"/>
      </w:divBdr>
    </w:div>
    <w:div w:id="1103302639">
      <w:bodyDiv w:val="1"/>
      <w:marLeft w:val="0"/>
      <w:marRight w:val="0"/>
      <w:marTop w:val="0"/>
      <w:marBottom w:val="0"/>
      <w:divBdr>
        <w:top w:val="none" w:sz="0" w:space="0" w:color="auto"/>
        <w:left w:val="none" w:sz="0" w:space="0" w:color="auto"/>
        <w:bottom w:val="none" w:sz="0" w:space="0" w:color="auto"/>
        <w:right w:val="none" w:sz="0" w:space="0" w:color="auto"/>
      </w:divBdr>
    </w:div>
    <w:div w:id="1123117638">
      <w:bodyDiv w:val="1"/>
      <w:marLeft w:val="0"/>
      <w:marRight w:val="0"/>
      <w:marTop w:val="0"/>
      <w:marBottom w:val="0"/>
      <w:divBdr>
        <w:top w:val="none" w:sz="0" w:space="0" w:color="auto"/>
        <w:left w:val="none" w:sz="0" w:space="0" w:color="auto"/>
        <w:bottom w:val="none" w:sz="0" w:space="0" w:color="auto"/>
        <w:right w:val="none" w:sz="0" w:space="0" w:color="auto"/>
      </w:divBdr>
    </w:div>
    <w:div w:id="1144658054">
      <w:bodyDiv w:val="1"/>
      <w:marLeft w:val="0"/>
      <w:marRight w:val="0"/>
      <w:marTop w:val="0"/>
      <w:marBottom w:val="0"/>
      <w:divBdr>
        <w:top w:val="none" w:sz="0" w:space="0" w:color="auto"/>
        <w:left w:val="none" w:sz="0" w:space="0" w:color="auto"/>
        <w:bottom w:val="none" w:sz="0" w:space="0" w:color="auto"/>
        <w:right w:val="none" w:sz="0" w:space="0" w:color="auto"/>
      </w:divBdr>
    </w:div>
    <w:div w:id="1213730058">
      <w:bodyDiv w:val="1"/>
      <w:marLeft w:val="0"/>
      <w:marRight w:val="0"/>
      <w:marTop w:val="0"/>
      <w:marBottom w:val="0"/>
      <w:divBdr>
        <w:top w:val="none" w:sz="0" w:space="0" w:color="auto"/>
        <w:left w:val="none" w:sz="0" w:space="0" w:color="auto"/>
        <w:bottom w:val="none" w:sz="0" w:space="0" w:color="auto"/>
        <w:right w:val="none" w:sz="0" w:space="0" w:color="auto"/>
      </w:divBdr>
    </w:div>
    <w:div w:id="1220626963">
      <w:bodyDiv w:val="1"/>
      <w:marLeft w:val="0"/>
      <w:marRight w:val="0"/>
      <w:marTop w:val="0"/>
      <w:marBottom w:val="0"/>
      <w:divBdr>
        <w:top w:val="none" w:sz="0" w:space="0" w:color="auto"/>
        <w:left w:val="none" w:sz="0" w:space="0" w:color="auto"/>
        <w:bottom w:val="none" w:sz="0" w:space="0" w:color="auto"/>
        <w:right w:val="none" w:sz="0" w:space="0" w:color="auto"/>
      </w:divBdr>
    </w:div>
    <w:div w:id="1239051495">
      <w:bodyDiv w:val="1"/>
      <w:marLeft w:val="0"/>
      <w:marRight w:val="0"/>
      <w:marTop w:val="0"/>
      <w:marBottom w:val="0"/>
      <w:divBdr>
        <w:top w:val="none" w:sz="0" w:space="0" w:color="auto"/>
        <w:left w:val="none" w:sz="0" w:space="0" w:color="auto"/>
        <w:bottom w:val="none" w:sz="0" w:space="0" w:color="auto"/>
        <w:right w:val="none" w:sz="0" w:space="0" w:color="auto"/>
      </w:divBdr>
    </w:div>
    <w:div w:id="1297833065">
      <w:bodyDiv w:val="1"/>
      <w:marLeft w:val="0"/>
      <w:marRight w:val="0"/>
      <w:marTop w:val="0"/>
      <w:marBottom w:val="0"/>
      <w:divBdr>
        <w:top w:val="none" w:sz="0" w:space="0" w:color="auto"/>
        <w:left w:val="none" w:sz="0" w:space="0" w:color="auto"/>
        <w:bottom w:val="none" w:sz="0" w:space="0" w:color="auto"/>
        <w:right w:val="none" w:sz="0" w:space="0" w:color="auto"/>
      </w:divBdr>
    </w:div>
    <w:div w:id="1302345213">
      <w:bodyDiv w:val="1"/>
      <w:marLeft w:val="0"/>
      <w:marRight w:val="0"/>
      <w:marTop w:val="0"/>
      <w:marBottom w:val="0"/>
      <w:divBdr>
        <w:top w:val="none" w:sz="0" w:space="0" w:color="auto"/>
        <w:left w:val="none" w:sz="0" w:space="0" w:color="auto"/>
        <w:bottom w:val="none" w:sz="0" w:space="0" w:color="auto"/>
        <w:right w:val="none" w:sz="0" w:space="0" w:color="auto"/>
      </w:divBdr>
    </w:div>
    <w:div w:id="1314989197">
      <w:bodyDiv w:val="1"/>
      <w:marLeft w:val="0"/>
      <w:marRight w:val="0"/>
      <w:marTop w:val="0"/>
      <w:marBottom w:val="0"/>
      <w:divBdr>
        <w:top w:val="none" w:sz="0" w:space="0" w:color="auto"/>
        <w:left w:val="none" w:sz="0" w:space="0" w:color="auto"/>
        <w:bottom w:val="none" w:sz="0" w:space="0" w:color="auto"/>
        <w:right w:val="none" w:sz="0" w:space="0" w:color="auto"/>
      </w:divBdr>
    </w:div>
    <w:div w:id="1334644422">
      <w:bodyDiv w:val="1"/>
      <w:marLeft w:val="0"/>
      <w:marRight w:val="0"/>
      <w:marTop w:val="0"/>
      <w:marBottom w:val="0"/>
      <w:divBdr>
        <w:top w:val="none" w:sz="0" w:space="0" w:color="auto"/>
        <w:left w:val="none" w:sz="0" w:space="0" w:color="auto"/>
        <w:bottom w:val="none" w:sz="0" w:space="0" w:color="auto"/>
        <w:right w:val="none" w:sz="0" w:space="0" w:color="auto"/>
      </w:divBdr>
    </w:div>
    <w:div w:id="1336299699">
      <w:bodyDiv w:val="1"/>
      <w:marLeft w:val="0"/>
      <w:marRight w:val="0"/>
      <w:marTop w:val="0"/>
      <w:marBottom w:val="0"/>
      <w:divBdr>
        <w:top w:val="none" w:sz="0" w:space="0" w:color="auto"/>
        <w:left w:val="none" w:sz="0" w:space="0" w:color="auto"/>
        <w:bottom w:val="none" w:sz="0" w:space="0" w:color="auto"/>
        <w:right w:val="none" w:sz="0" w:space="0" w:color="auto"/>
      </w:divBdr>
    </w:div>
    <w:div w:id="1343554088">
      <w:bodyDiv w:val="1"/>
      <w:marLeft w:val="0"/>
      <w:marRight w:val="0"/>
      <w:marTop w:val="0"/>
      <w:marBottom w:val="0"/>
      <w:divBdr>
        <w:top w:val="none" w:sz="0" w:space="0" w:color="auto"/>
        <w:left w:val="none" w:sz="0" w:space="0" w:color="auto"/>
        <w:bottom w:val="none" w:sz="0" w:space="0" w:color="auto"/>
        <w:right w:val="none" w:sz="0" w:space="0" w:color="auto"/>
      </w:divBdr>
    </w:div>
    <w:div w:id="1373309263">
      <w:bodyDiv w:val="1"/>
      <w:marLeft w:val="0"/>
      <w:marRight w:val="0"/>
      <w:marTop w:val="0"/>
      <w:marBottom w:val="0"/>
      <w:divBdr>
        <w:top w:val="none" w:sz="0" w:space="0" w:color="auto"/>
        <w:left w:val="none" w:sz="0" w:space="0" w:color="auto"/>
        <w:bottom w:val="none" w:sz="0" w:space="0" w:color="auto"/>
        <w:right w:val="none" w:sz="0" w:space="0" w:color="auto"/>
      </w:divBdr>
    </w:div>
    <w:div w:id="1401519029">
      <w:bodyDiv w:val="1"/>
      <w:marLeft w:val="0"/>
      <w:marRight w:val="0"/>
      <w:marTop w:val="0"/>
      <w:marBottom w:val="0"/>
      <w:divBdr>
        <w:top w:val="none" w:sz="0" w:space="0" w:color="auto"/>
        <w:left w:val="none" w:sz="0" w:space="0" w:color="auto"/>
        <w:bottom w:val="none" w:sz="0" w:space="0" w:color="auto"/>
        <w:right w:val="none" w:sz="0" w:space="0" w:color="auto"/>
      </w:divBdr>
    </w:div>
    <w:div w:id="1404722845">
      <w:bodyDiv w:val="1"/>
      <w:marLeft w:val="0"/>
      <w:marRight w:val="0"/>
      <w:marTop w:val="0"/>
      <w:marBottom w:val="0"/>
      <w:divBdr>
        <w:top w:val="none" w:sz="0" w:space="0" w:color="auto"/>
        <w:left w:val="none" w:sz="0" w:space="0" w:color="auto"/>
        <w:bottom w:val="none" w:sz="0" w:space="0" w:color="auto"/>
        <w:right w:val="none" w:sz="0" w:space="0" w:color="auto"/>
      </w:divBdr>
    </w:div>
    <w:div w:id="1415514247">
      <w:bodyDiv w:val="1"/>
      <w:marLeft w:val="0"/>
      <w:marRight w:val="0"/>
      <w:marTop w:val="0"/>
      <w:marBottom w:val="0"/>
      <w:divBdr>
        <w:top w:val="none" w:sz="0" w:space="0" w:color="auto"/>
        <w:left w:val="none" w:sz="0" w:space="0" w:color="auto"/>
        <w:bottom w:val="none" w:sz="0" w:space="0" w:color="auto"/>
        <w:right w:val="none" w:sz="0" w:space="0" w:color="auto"/>
      </w:divBdr>
    </w:div>
    <w:div w:id="1417362181">
      <w:bodyDiv w:val="1"/>
      <w:marLeft w:val="0"/>
      <w:marRight w:val="0"/>
      <w:marTop w:val="0"/>
      <w:marBottom w:val="0"/>
      <w:divBdr>
        <w:top w:val="none" w:sz="0" w:space="0" w:color="auto"/>
        <w:left w:val="none" w:sz="0" w:space="0" w:color="auto"/>
        <w:bottom w:val="none" w:sz="0" w:space="0" w:color="auto"/>
        <w:right w:val="none" w:sz="0" w:space="0" w:color="auto"/>
      </w:divBdr>
    </w:div>
    <w:div w:id="1422143617">
      <w:bodyDiv w:val="1"/>
      <w:marLeft w:val="0"/>
      <w:marRight w:val="0"/>
      <w:marTop w:val="0"/>
      <w:marBottom w:val="0"/>
      <w:divBdr>
        <w:top w:val="none" w:sz="0" w:space="0" w:color="auto"/>
        <w:left w:val="none" w:sz="0" w:space="0" w:color="auto"/>
        <w:bottom w:val="none" w:sz="0" w:space="0" w:color="auto"/>
        <w:right w:val="none" w:sz="0" w:space="0" w:color="auto"/>
      </w:divBdr>
    </w:div>
    <w:div w:id="1464470118">
      <w:bodyDiv w:val="1"/>
      <w:marLeft w:val="0"/>
      <w:marRight w:val="0"/>
      <w:marTop w:val="0"/>
      <w:marBottom w:val="0"/>
      <w:divBdr>
        <w:top w:val="none" w:sz="0" w:space="0" w:color="auto"/>
        <w:left w:val="none" w:sz="0" w:space="0" w:color="auto"/>
        <w:bottom w:val="none" w:sz="0" w:space="0" w:color="auto"/>
        <w:right w:val="none" w:sz="0" w:space="0" w:color="auto"/>
      </w:divBdr>
    </w:div>
    <w:div w:id="1488322712">
      <w:bodyDiv w:val="1"/>
      <w:marLeft w:val="0"/>
      <w:marRight w:val="0"/>
      <w:marTop w:val="0"/>
      <w:marBottom w:val="0"/>
      <w:divBdr>
        <w:top w:val="none" w:sz="0" w:space="0" w:color="auto"/>
        <w:left w:val="none" w:sz="0" w:space="0" w:color="auto"/>
        <w:bottom w:val="none" w:sz="0" w:space="0" w:color="auto"/>
        <w:right w:val="none" w:sz="0" w:space="0" w:color="auto"/>
      </w:divBdr>
    </w:div>
    <w:div w:id="1496067017">
      <w:bodyDiv w:val="1"/>
      <w:marLeft w:val="0"/>
      <w:marRight w:val="0"/>
      <w:marTop w:val="0"/>
      <w:marBottom w:val="0"/>
      <w:divBdr>
        <w:top w:val="none" w:sz="0" w:space="0" w:color="auto"/>
        <w:left w:val="none" w:sz="0" w:space="0" w:color="auto"/>
        <w:bottom w:val="none" w:sz="0" w:space="0" w:color="auto"/>
        <w:right w:val="none" w:sz="0" w:space="0" w:color="auto"/>
      </w:divBdr>
    </w:div>
    <w:div w:id="1500267337">
      <w:bodyDiv w:val="1"/>
      <w:marLeft w:val="0"/>
      <w:marRight w:val="0"/>
      <w:marTop w:val="0"/>
      <w:marBottom w:val="0"/>
      <w:divBdr>
        <w:top w:val="none" w:sz="0" w:space="0" w:color="auto"/>
        <w:left w:val="none" w:sz="0" w:space="0" w:color="auto"/>
        <w:bottom w:val="none" w:sz="0" w:space="0" w:color="auto"/>
        <w:right w:val="none" w:sz="0" w:space="0" w:color="auto"/>
      </w:divBdr>
    </w:div>
    <w:div w:id="1521047907">
      <w:bodyDiv w:val="1"/>
      <w:marLeft w:val="0"/>
      <w:marRight w:val="0"/>
      <w:marTop w:val="0"/>
      <w:marBottom w:val="0"/>
      <w:divBdr>
        <w:top w:val="none" w:sz="0" w:space="0" w:color="auto"/>
        <w:left w:val="none" w:sz="0" w:space="0" w:color="auto"/>
        <w:bottom w:val="none" w:sz="0" w:space="0" w:color="auto"/>
        <w:right w:val="none" w:sz="0" w:space="0" w:color="auto"/>
      </w:divBdr>
    </w:div>
    <w:div w:id="1531258796">
      <w:bodyDiv w:val="1"/>
      <w:marLeft w:val="0"/>
      <w:marRight w:val="0"/>
      <w:marTop w:val="0"/>
      <w:marBottom w:val="0"/>
      <w:divBdr>
        <w:top w:val="none" w:sz="0" w:space="0" w:color="auto"/>
        <w:left w:val="none" w:sz="0" w:space="0" w:color="auto"/>
        <w:bottom w:val="none" w:sz="0" w:space="0" w:color="auto"/>
        <w:right w:val="none" w:sz="0" w:space="0" w:color="auto"/>
      </w:divBdr>
    </w:div>
    <w:div w:id="1540580457">
      <w:bodyDiv w:val="1"/>
      <w:marLeft w:val="0"/>
      <w:marRight w:val="0"/>
      <w:marTop w:val="0"/>
      <w:marBottom w:val="0"/>
      <w:divBdr>
        <w:top w:val="none" w:sz="0" w:space="0" w:color="auto"/>
        <w:left w:val="none" w:sz="0" w:space="0" w:color="auto"/>
        <w:bottom w:val="none" w:sz="0" w:space="0" w:color="auto"/>
        <w:right w:val="none" w:sz="0" w:space="0" w:color="auto"/>
      </w:divBdr>
    </w:div>
    <w:div w:id="1559171231">
      <w:bodyDiv w:val="1"/>
      <w:marLeft w:val="0"/>
      <w:marRight w:val="0"/>
      <w:marTop w:val="0"/>
      <w:marBottom w:val="0"/>
      <w:divBdr>
        <w:top w:val="none" w:sz="0" w:space="0" w:color="auto"/>
        <w:left w:val="none" w:sz="0" w:space="0" w:color="auto"/>
        <w:bottom w:val="none" w:sz="0" w:space="0" w:color="auto"/>
        <w:right w:val="none" w:sz="0" w:space="0" w:color="auto"/>
      </w:divBdr>
    </w:div>
    <w:div w:id="1570727045">
      <w:bodyDiv w:val="1"/>
      <w:marLeft w:val="0"/>
      <w:marRight w:val="0"/>
      <w:marTop w:val="0"/>
      <w:marBottom w:val="0"/>
      <w:divBdr>
        <w:top w:val="none" w:sz="0" w:space="0" w:color="auto"/>
        <w:left w:val="none" w:sz="0" w:space="0" w:color="auto"/>
        <w:bottom w:val="none" w:sz="0" w:space="0" w:color="auto"/>
        <w:right w:val="none" w:sz="0" w:space="0" w:color="auto"/>
      </w:divBdr>
    </w:div>
    <w:div w:id="1583248507">
      <w:bodyDiv w:val="1"/>
      <w:marLeft w:val="0"/>
      <w:marRight w:val="0"/>
      <w:marTop w:val="0"/>
      <w:marBottom w:val="0"/>
      <w:divBdr>
        <w:top w:val="none" w:sz="0" w:space="0" w:color="auto"/>
        <w:left w:val="none" w:sz="0" w:space="0" w:color="auto"/>
        <w:bottom w:val="none" w:sz="0" w:space="0" w:color="auto"/>
        <w:right w:val="none" w:sz="0" w:space="0" w:color="auto"/>
      </w:divBdr>
    </w:div>
    <w:div w:id="1627002653">
      <w:bodyDiv w:val="1"/>
      <w:marLeft w:val="0"/>
      <w:marRight w:val="0"/>
      <w:marTop w:val="0"/>
      <w:marBottom w:val="0"/>
      <w:divBdr>
        <w:top w:val="none" w:sz="0" w:space="0" w:color="auto"/>
        <w:left w:val="none" w:sz="0" w:space="0" w:color="auto"/>
        <w:bottom w:val="none" w:sz="0" w:space="0" w:color="auto"/>
        <w:right w:val="none" w:sz="0" w:space="0" w:color="auto"/>
      </w:divBdr>
    </w:div>
    <w:div w:id="1634024449">
      <w:bodyDiv w:val="1"/>
      <w:marLeft w:val="0"/>
      <w:marRight w:val="0"/>
      <w:marTop w:val="0"/>
      <w:marBottom w:val="0"/>
      <w:divBdr>
        <w:top w:val="none" w:sz="0" w:space="0" w:color="auto"/>
        <w:left w:val="none" w:sz="0" w:space="0" w:color="auto"/>
        <w:bottom w:val="none" w:sz="0" w:space="0" w:color="auto"/>
        <w:right w:val="none" w:sz="0" w:space="0" w:color="auto"/>
      </w:divBdr>
    </w:div>
    <w:div w:id="1662542170">
      <w:bodyDiv w:val="1"/>
      <w:marLeft w:val="0"/>
      <w:marRight w:val="0"/>
      <w:marTop w:val="0"/>
      <w:marBottom w:val="0"/>
      <w:divBdr>
        <w:top w:val="none" w:sz="0" w:space="0" w:color="auto"/>
        <w:left w:val="none" w:sz="0" w:space="0" w:color="auto"/>
        <w:bottom w:val="none" w:sz="0" w:space="0" w:color="auto"/>
        <w:right w:val="none" w:sz="0" w:space="0" w:color="auto"/>
      </w:divBdr>
    </w:div>
    <w:div w:id="1684674035">
      <w:bodyDiv w:val="1"/>
      <w:marLeft w:val="0"/>
      <w:marRight w:val="0"/>
      <w:marTop w:val="0"/>
      <w:marBottom w:val="0"/>
      <w:divBdr>
        <w:top w:val="none" w:sz="0" w:space="0" w:color="auto"/>
        <w:left w:val="none" w:sz="0" w:space="0" w:color="auto"/>
        <w:bottom w:val="none" w:sz="0" w:space="0" w:color="auto"/>
        <w:right w:val="none" w:sz="0" w:space="0" w:color="auto"/>
      </w:divBdr>
    </w:div>
    <w:div w:id="1715538046">
      <w:bodyDiv w:val="1"/>
      <w:marLeft w:val="0"/>
      <w:marRight w:val="0"/>
      <w:marTop w:val="0"/>
      <w:marBottom w:val="0"/>
      <w:divBdr>
        <w:top w:val="none" w:sz="0" w:space="0" w:color="auto"/>
        <w:left w:val="none" w:sz="0" w:space="0" w:color="auto"/>
        <w:bottom w:val="none" w:sz="0" w:space="0" w:color="auto"/>
        <w:right w:val="none" w:sz="0" w:space="0" w:color="auto"/>
      </w:divBdr>
    </w:div>
    <w:div w:id="1787233430">
      <w:bodyDiv w:val="1"/>
      <w:marLeft w:val="0"/>
      <w:marRight w:val="0"/>
      <w:marTop w:val="0"/>
      <w:marBottom w:val="0"/>
      <w:divBdr>
        <w:top w:val="none" w:sz="0" w:space="0" w:color="auto"/>
        <w:left w:val="none" w:sz="0" w:space="0" w:color="auto"/>
        <w:bottom w:val="none" w:sz="0" w:space="0" w:color="auto"/>
        <w:right w:val="none" w:sz="0" w:space="0" w:color="auto"/>
      </w:divBdr>
    </w:div>
    <w:div w:id="1799644083">
      <w:bodyDiv w:val="1"/>
      <w:marLeft w:val="0"/>
      <w:marRight w:val="0"/>
      <w:marTop w:val="0"/>
      <w:marBottom w:val="0"/>
      <w:divBdr>
        <w:top w:val="none" w:sz="0" w:space="0" w:color="auto"/>
        <w:left w:val="none" w:sz="0" w:space="0" w:color="auto"/>
        <w:bottom w:val="none" w:sz="0" w:space="0" w:color="auto"/>
        <w:right w:val="none" w:sz="0" w:space="0" w:color="auto"/>
      </w:divBdr>
    </w:div>
    <w:div w:id="1812089405">
      <w:bodyDiv w:val="1"/>
      <w:marLeft w:val="0"/>
      <w:marRight w:val="0"/>
      <w:marTop w:val="0"/>
      <w:marBottom w:val="0"/>
      <w:divBdr>
        <w:top w:val="none" w:sz="0" w:space="0" w:color="auto"/>
        <w:left w:val="none" w:sz="0" w:space="0" w:color="auto"/>
        <w:bottom w:val="none" w:sz="0" w:space="0" w:color="auto"/>
        <w:right w:val="none" w:sz="0" w:space="0" w:color="auto"/>
      </w:divBdr>
    </w:div>
    <w:div w:id="1818108013">
      <w:bodyDiv w:val="1"/>
      <w:marLeft w:val="0"/>
      <w:marRight w:val="0"/>
      <w:marTop w:val="0"/>
      <w:marBottom w:val="0"/>
      <w:divBdr>
        <w:top w:val="none" w:sz="0" w:space="0" w:color="auto"/>
        <w:left w:val="none" w:sz="0" w:space="0" w:color="auto"/>
        <w:bottom w:val="none" w:sz="0" w:space="0" w:color="auto"/>
        <w:right w:val="none" w:sz="0" w:space="0" w:color="auto"/>
      </w:divBdr>
    </w:div>
    <w:div w:id="1865824885">
      <w:bodyDiv w:val="1"/>
      <w:marLeft w:val="0"/>
      <w:marRight w:val="0"/>
      <w:marTop w:val="0"/>
      <w:marBottom w:val="0"/>
      <w:divBdr>
        <w:top w:val="none" w:sz="0" w:space="0" w:color="auto"/>
        <w:left w:val="none" w:sz="0" w:space="0" w:color="auto"/>
        <w:bottom w:val="none" w:sz="0" w:space="0" w:color="auto"/>
        <w:right w:val="none" w:sz="0" w:space="0" w:color="auto"/>
      </w:divBdr>
    </w:div>
    <w:div w:id="1890653241">
      <w:bodyDiv w:val="1"/>
      <w:marLeft w:val="0"/>
      <w:marRight w:val="0"/>
      <w:marTop w:val="0"/>
      <w:marBottom w:val="0"/>
      <w:divBdr>
        <w:top w:val="none" w:sz="0" w:space="0" w:color="auto"/>
        <w:left w:val="none" w:sz="0" w:space="0" w:color="auto"/>
        <w:bottom w:val="none" w:sz="0" w:space="0" w:color="auto"/>
        <w:right w:val="none" w:sz="0" w:space="0" w:color="auto"/>
      </w:divBdr>
    </w:div>
    <w:div w:id="1915507412">
      <w:bodyDiv w:val="1"/>
      <w:marLeft w:val="0"/>
      <w:marRight w:val="0"/>
      <w:marTop w:val="0"/>
      <w:marBottom w:val="0"/>
      <w:divBdr>
        <w:top w:val="none" w:sz="0" w:space="0" w:color="auto"/>
        <w:left w:val="none" w:sz="0" w:space="0" w:color="auto"/>
        <w:bottom w:val="none" w:sz="0" w:space="0" w:color="auto"/>
        <w:right w:val="none" w:sz="0" w:space="0" w:color="auto"/>
      </w:divBdr>
    </w:div>
    <w:div w:id="1921326064">
      <w:bodyDiv w:val="1"/>
      <w:marLeft w:val="0"/>
      <w:marRight w:val="0"/>
      <w:marTop w:val="0"/>
      <w:marBottom w:val="0"/>
      <w:divBdr>
        <w:top w:val="none" w:sz="0" w:space="0" w:color="auto"/>
        <w:left w:val="none" w:sz="0" w:space="0" w:color="auto"/>
        <w:bottom w:val="none" w:sz="0" w:space="0" w:color="auto"/>
        <w:right w:val="none" w:sz="0" w:space="0" w:color="auto"/>
      </w:divBdr>
    </w:div>
    <w:div w:id="1932348131">
      <w:bodyDiv w:val="1"/>
      <w:marLeft w:val="0"/>
      <w:marRight w:val="0"/>
      <w:marTop w:val="0"/>
      <w:marBottom w:val="0"/>
      <w:divBdr>
        <w:top w:val="none" w:sz="0" w:space="0" w:color="auto"/>
        <w:left w:val="none" w:sz="0" w:space="0" w:color="auto"/>
        <w:bottom w:val="none" w:sz="0" w:space="0" w:color="auto"/>
        <w:right w:val="none" w:sz="0" w:space="0" w:color="auto"/>
      </w:divBdr>
    </w:div>
    <w:div w:id="1947075305">
      <w:bodyDiv w:val="1"/>
      <w:marLeft w:val="0"/>
      <w:marRight w:val="0"/>
      <w:marTop w:val="0"/>
      <w:marBottom w:val="0"/>
      <w:divBdr>
        <w:top w:val="none" w:sz="0" w:space="0" w:color="auto"/>
        <w:left w:val="none" w:sz="0" w:space="0" w:color="auto"/>
        <w:bottom w:val="none" w:sz="0" w:space="0" w:color="auto"/>
        <w:right w:val="none" w:sz="0" w:space="0" w:color="auto"/>
      </w:divBdr>
    </w:div>
    <w:div w:id="1950695037">
      <w:bodyDiv w:val="1"/>
      <w:marLeft w:val="0"/>
      <w:marRight w:val="0"/>
      <w:marTop w:val="0"/>
      <w:marBottom w:val="0"/>
      <w:divBdr>
        <w:top w:val="none" w:sz="0" w:space="0" w:color="auto"/>
        <w:left w:val="none" w:sz="0" w:space="0" w:color="auto"/>
        <w:bottom w:val="none" w:sz="0" w:space="0" w:color="auto"/>
        <w:right w:val="none" w:sz="0" w:space="0" w:color="auto"/>
      </w:divBdr>
    </w:div>
    <w:div w:id="1972903755">
      <w:bodyDiv w:val="1"/>
      <w:marLeft w:val="0"/>
      <w:marRight w:val="0"/>
      <w:marTop w:val="0"/>
      <w:marBottom w:val="0"/>
      <w:divBdr>
        <w:top w:val="none" w:sz="0" w:space="0" w:color="auto"/>
        <w:left w:val="none" w:sz="0" w:space="0" w:color="auto"/>
        <w:bottom w:val="none" w:sz="0" w:space="0" w:color="auto"/>
        <w:right w:val="none" w:sz="0" w:space="0" w:color="auto"/>
      </w:divBdr>
    </w:div>
    <w:div w:id="1991053919">
      <w:bodyDiv w:val="1"/>
      <w:marLeft w:val="0"/>
      <w:marRight w:val="0"/>
      <w:marTop w:val="0"/>
      <w:marBottom w:val="0"/>
      <w:divBdr>
        <w:top w:val="none" w:sz="0" w:space="0" w:color="auto"/>
        <w:left w:val="none" w:sz="0" w:space="0" w:color="auto"/>
        <w:bottom w:val="none" w:sz="0" w:space="0" w:color="auto"/>
        <w:right w:val="none" w:sz="0" w:space="0" w:color="auto"/>
      </w:divBdr>
    </w:div>
    <w:div w:id="2007786587">
      <w:bodyDiv w:val="1"/>
      <w:marLeft w:val="0"/>
      <w:marRight w:val="0"/>
      <w:marTop w:val="0"/>
      <w:marBottom w:val="0"/>
      <w:divBdr>
        <w:top w:val="none" w:sz="0" w:space="0" w:color="auto"/>
        <w:left w:val="none" w:sz="0" w:space="0" w:color="auto"/>
        <w:bottom w:val="none" w:sz="0" w:space="0" w:color="auto"/>
        <w:right w:val="none" w:sz="0" w:space="0" w:color="auto"/>
      </w:divBdr>
    </w:div>
    <w:div w:id="2019623762">
      <w:bodyDiv w:val="1"/>
      <w:marLeft w:val="0"/>
      <w:marRight w:val="0"/>
      <w:marTop w:val="0"/>
      <w:marBottom w:val="0"/>
      <w:divBdr>
        <w:top w:val="none" w:sz="0" w:space="0" w:color="auto"/>
        <w:left w:val="none" w:sz="0" w:space="0" w:color="auto"/>
        <w:bottom w:val="none" w:sz="0" w:space="0" w:color="auto"/>
        <w:right w:val="none" w:sz="0" w:space="0" w:color="auto"/>
      </w:divBdr>
    </w:div>
    <w:div w:id="2033411957">
      <w:bodyDiv w:val="1"/>
      <w:marLeft w:val="0"/>
      <w:marRight w:val="0"/>
      <w:marTop w:val="0"/>
      <w:marBottom w:val="0"/>
      <w:divBdr>
        <w:top w:val="none" w:sz="0" w:space="0" w:color="auto"/>
        <w:left w:val="none" w:sz="0" w:space="0" w:color="auto"/>
        <w:bottom w:val="none" w:sz="0" w:space="0" w:color="auto"/>
        <w:right w:val="none" w:sz="0" w:space="0" w:color="auto"/>
      </w:divBdr>
    </w:div>
    <w:div w:id="2036415959">
      <w:bodyDiv w:val="1"/>
      <w:marLeft w:val="0"/>
      <w:marRight w:val="0"/>
      <w:marTop w:val="0"/>
      <w:marBottom w:val="0"/>
      <w:divBdr>
        <w:top w:val="none" w:sz="0" w:space="0" w:color="auto"/>
        <w:left w:val="none" w:sz="0" w:space="0" w:color="auto"/>
        <w:bottom w:val="none" w:sz="0" w:space="0" w:color="auto"/>
        <w:right w:val="none" w:sz="0" w:space="0" w:color="auto"/>
      </w:divBdr>
    </w:div>
    <w:div w:id="2063480417">
      <w:bodyDiv w:val="1"/>
      <w:marLeft w:val="0"/>
      <w:marRight w:val="0"/>
      <w:marTop w:val="0"/>
      <w:marBottom w:val="0"/>
      <w:divBdr>
        <w:top w:val="none" w:sz="0" w:space="0" w:color="auto"/>
        <w:left w:val="none" w:sz="0" w:space="0" w:color="auto"/>
        <w:bottom w:val="none" w:sz="0" w:space="0" w:color="auto"/>
        <w:right w:val="none" w:sz="0" w:space="0" w:color="auto"/>
      </w:divBdr>
    </w:div>
    <w:div w:id="2100323004">
      <w:bodyDiv w:val="1"/>
      <w:marLeft w:val="0"/>
      <w:marRight w:val="0"/>
      <w:marTop w:val="0"/>
      <w:marBottom w:val="0"/>
      <w:divBdr>
        <w:top w:val="none" w:sz="0" w:space="0" w:color="auto"/>
        <w:left w:val="none" w:sz="0" w:space="0" w:color="auto"/>
        <w:bottom w:val="none" w:sz="0" w:space="0" w:color="auto"/>
        <w:right w:val="none" w:sz="0" w:space="0" w:color="auto"/>
      </w:divBdr>
    </w:div>
    <w:div w:id="2100439989">
      <w:bodyDiv w:val="1"/>
      <w:marLeft w:val="0"/>
      <w:marRight w:val="0"/>
      <w:marTop w:val="0"/>
      <w:marBottom w:val="0"/>
      <w:divBdr>
        <w:top w:val="none" w:sz="0" w:space="0" w:color="auto"/>
        <w:left w:val="none" w:sz="0" w:space="0" w:color="auto"/>
        <w:bottom w:val="none" w:sz="0" w:space="0" w:color="auto"/>
        <w:right w:val="none" w:sz="0" w:space="0" w:color="auto"/>
      </w:divBdr>
    </w:div>
    <w:div w:id="2146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219BA-D8C8-47E8-A4CB-2088B1AA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8407</Words>
  <Characters>44904</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53205</CharactersWithSpaces>
  <SharedDoc>false</SharedDoc>
  <HLinks>
    <vt:vector size="12" baseType="variant">
      <vt:variant>
        <vt:i4>3997821</vt:i4>
      </vt:variant>
      <vt:variant>
        <vt:i4>3</vt:i4>
      </vt:variant>
      <vt:variant>
        <vt:i4>0</vt:i4>
      </vt:variant>
      <vt:variant>
        <vt:i4>5</vt:i4>
      </vt:variant>
      <vt:variant>
        <vt:lpwstr>http://moderngov:8080/ieListDocuments.aspx?CId=249&amp;MId=61076&amp;Ver=4</vt:lpwstr>
      </vt:variant>
      <vt:variant>
        <vt:lpwstr/>
      </vt:variant>
      <vt:variant>
        <vt:i4>3735673</vt:i4>
      </vt:variant>
      <vt:variant>
        <vt:i4>0</vt:i4>
      </vt:variant>
      <vt:variant>
        <vt:i4>0</vt:i4>
      </vt:variant>
      <vt:variant>
        <vt:i4>5</vt:i4>
      </vt:variant>
      <vt:variant>
        <vt:lpwstr>http://moderngov:8080/ieListDocuments.aspx?CId=249&amp;MId=61436&amp;Ver=4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Funmi Ogunnaike</dc:creator>
  <cp:lastModifiedBy>Funmi Ogunnaike</cp:lastModifiedBy>
  <cp:revision>9</cp:revision>
  <cp:lastPrinted>2019-06-07T15:00:00Z</cp:lastPrinted>
  <dcterms:created xsi:type="dcterms:W3CDTF">2019-06-12T08:29:00Z</dcterms:created>
  <dcterms:modified xsi:type="dcterms:W3CDTF">2019-06-12T08:42:00Z</dcterms:modified>
</cp:coreProperties>
</file>